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E1" w:rsidRPr="001471A1" w:rsidRDefault="000C69E1" w:rsidP="001471A1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1471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Tarım ve Orman </w:t>
      </w:r>
      <w:proofErr w:type="gramStart"/>
      <w:r w:rsidRPr="001471A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Bakanlığından</w:t>
      </w:r>
      <w:r w:rsidR="00C541F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:</w:t>
      </w:r>
      <w:proofErr w:type="gramEnd"/>
    </w:p>
    <w:p w:rsidR="00521FB8" w:rsidRDefault="003510A9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PATATES SİĞİL </w:t>
      </w:r>
      <w:r w:rsidR="00244CF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HASTALIĞI </w:t>
      </w:r>
      <w:r w:rsidR="000848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ETMENİ</w:t>
      </w:r>
      <w:r w:rsidR="00F24B7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NİN</w:t>
      </w:r>
      <w:r w:rsidR="000848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BE146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ERADİKASYONU VE YAYILMASININ ÖNLENMESİ İÇİN ALINACAK TEDBİRLER HAKKINDA YÖNETMELİK</w:t>
      </w:r>
    </w:p>
    <w:p w:rsidR="00183217" w:rsidRPr="001471A1" w:rsidRDefault="00183217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C69E1" w:rsidRPr="001471A1" w:rsidRDefault="000C69E1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C69E1" w:rsidRPr="001471A1" w:rsidRDefault="000C69E1" w:rsidP="009B1C42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1A1">
        <w:rPr>
          <w:rFonts w:ascii="Times New Roman" w:hAnsi="Times New Roman" w:cs="Times New Roman"/>
          <w:b/>
          <w:bCs/>
          <w:sz w:val="24"/>
          <w:szCs w:val="24"/>
        </w:rPr>
        <w:t>BİRİNCİ BÖLÜM</w:t>
      </w:r>
    </w:p>
    <w:p w:rsidR="00D1624C" w:rsidRPr="001471A1" w:rsidRDefault="000C69E1" w:rsidP="009B1C42">
      <w:pPr>
        <w:tabs>
          <w:tab w:val="left" w:pos="993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1A1">
        <w:rPr>
          <w:rFonts w:ascii="Times New Roman" w:hAnsi="Times New Roman" w:cs="Times New Roman"/>
          <w:b/>
          <w:bCs/>
          <w:sz w:val="24"/>
          <w:szCs w:val="24"/>
        </w:rPr>
        <w:t>Başlangıç Hükümleri</w:t>
      </w:r>
    </w:p>
    <w:p w:rsidR="00D1624C" w:rsidRPr="001471A1" w:rsidRDefault="00D1624C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 ve kapsam</w:t>
      </w:r>
    </w:p>
    <w:p w:rsidR="00B91292" w:rsidRPr="001471A1" w:rsidRDefault="00B91292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</w:t>
      </w:r>
      <w:r w:rsidR="000C69E1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ADDE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1</w:t>
      </w:r>
      <w:r w:rsidR="000C69E1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 </w:t>
      </w:r>
      <w:r w:rsidR="000C69E1" w:rsidRPr="001471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(1)</w:t>
      </w:r>
      <w:r w:rsidR="000C69E1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541F5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önetmelik,</w:t>
      </w:r>
      <w:r w:rsidR="007261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patates siğili etmeni olan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Synchytrium endobioticum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(Schilbersky) Percival’in </w:t>
      </w:r>
      <w:r w:rsidR="007261AF" w:rsidRPr="00BE1460">
        <w:rPr>
          <w:rFonts w:ascii="Times New Roman" w:hAnsi="Times New Roman" w:cs="Times New Roman"/>
          <w:color w:val="000000"/>
          <w:sz w:val="24"/>
          <w:szCs w:val="24"/>
        </w:rPr>
        <w:t>yeri ve yayılış alanlarının tespiti, mücadelesi ve yayılmasını engellemeye ilişkin usul ve esasları düzenlemekt</w:t>
      </w:r>
      <w:r w:rsidR="0008488A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="007261AF" w:rsidRPr="00BE1460">
        <w:rPr>
          <w:rFonts w:ascii="Times New Roman" w:hAnsi="Times New Roman" w:cs="Times New Roman"/>
          <w:color w:val="000000"/>
          <w:sz w:val="24"/>
          <w:szCs w:val="24"/>
        </w:rPr>
        <w:t>ir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1624C" w:rsidRPr="001471A1" w:rsidRDefault="000C69E1" w:rsidP="001471A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7261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C541F5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7261AF">
        <w:rPr>
          <w:rFonts w:ascii="Times New Roman" w:eastAsia="Times New Roman" w:hAnsi="Times New Roman" w:cs="Times New Roman"/>
          <w:sz w:val="24"/>
          <w:szCs w:val="24"/>
          <w:lang w:eastAsia="tr-TR"/>
        </w:rPr>
        <w:t>önetmelik, p</w:t>
      </w:r>
      <w:r w:rsidR="00D1624C" w:rsidRPr="001471A1">
        <w:rPr>
          <w:rFonts w:ascii="Times New Roman" w:hAnsi="Times New Roman" w:cs="Times New Roman"/>
          <w:sz w:val="24"/>
          <w:szCs w:val="24"/>
        </w:rPr>
        <w:t xml:space="preserve">atates üretimini engelleyen Patates siğil hastalığı </w:t>
      </w:r>
      <w:r w:rsidR="007261AF">
        <w:rPr>
          <w:rFonts w:ascii="Times New Roman" w:hAnsi="Times New Roman" w:cs="Times New Roman"/>
          <w:sz w:val="24"/>
          <w:szCs w:val="24"/>
        </w:rPr>
        <w:t xml:space="preserve">etmeni </w:t>
      </w:r>
      <w:r w:rsidR="00D1624C" w:rsidRPr="001471A1">
        <w:rPr>
          <w:rFonts w:ascii="Times New Roman" w:hAnsi="Times New Roman" w:cs="Times New Roman"/>
          <w:i/>
          <w:sz w:val="24"/>
          <w:szCs w:val="24"/>
        </w:rPr>
        <w:t>Synchytrium endobioticum</w:t>
      </w:r>
      <w:r w:rsidR="00D1624C" w:rsidRPr="001471A1">
        <w:rPr>
          <w:rFonts w:ascii="Times New Roman" w:hAnsi="Times New Roman" w:cs="Times New Roman"/>
          <w:sz w:val="24"/>
          <w:szCs w:val="24"/>
        </w:rPr>
        <w:t xml:space="preserve">’un teşhis ve tanısı, </w:t>
      </w:r>
      <w:r w:rsidR="00B91292" w:rsidRPr="001471A1">
        <w:rPr>
          <w:rFonts w:ascii="Times New Roman" w:hAnsi="Times New Roman" w:cs="Times New Roman"/>
          <w:sz w:val="24"/>
          <w:szCs w:val="24"/>
        </w:rPr>
        <w:t xml:space="preserve">sürveyi, </w:t>
      </w:r>
      <w:r w:rsidR="00D1624C" w:rsidRPr="001471A1">
        <w:rPr>
          <w:rFonts w:ascii="Times New Roman" w:hAnsi="Times New Roman" w:cs="Times New Roman"/>
          <w:sz w:val="24"/>
          <w:szCs w:val="24"/>
        </w:rPr>
        <w:t xml:space="preserve">patotiplerinin belirlenmesi, </w:t>
      </w:r>
      <w:r w:rsidR="00B91292" w:rsidRPr="00183217">
        <w:rPr>
          <w:rFonts w:ascii="Times New Roman" w:hAnsi="Times New Roman" w:cs="Times New Roman"/>
          <w:sz w:val="24"/>
          <w:szCs w:val="24"/>
        </w:rPr>
        <w:t>eradikasyonu</w:t>
      </w:r>
      <w:r w:rsidR="007026C4">
        <w:rPr>
          <w:rFonts w:ascii="Times New Roman" w:hAnsi="Times New Roman" w:cs="Times New Roman"/>
          <w:sz w:val="24"/>
          <w:szCs w:val="24"/>
        </w:rPr>
        <w:t xml:space="preserve"> </w:t>
      </w:r>
      <w:r w:rsidR="00B91292" w:rsidRPr="001471A1">
        <w:rPr>
          <w:rFonts w:ascii="Times New Roman" w:hAnsi="Times New Roman" w:cs="Times New Roman"/>
          <w:sz w:val="24"/>
          <w:szCs w:val="24"/>
        </w:rPr>
        <w:t xml:space="preserve">ve mücadele </w:t>
      </w:r>
      <w:r w:rsidR="00224628">
        <w:rPr>
          <w:rFonts w:ascii="Times New Roman" w:hAnsi="Times New Roman" w:cs="Times New Roman"/>
          <w:sz w:val="24"/>
          <w:szCs w:val="24"/>
        </w:rPr>
        <w:t>tedbir</w:t>
      </w:r>
      <w:r w:rsidR="00B91292" w:rsidRPr="001471A1">
        <w:rPr>
          <w:rFonts w:ascii="Times New Roman" w:hAnsi="Times New Roman" w:cs="Times New Roman"/>
          <w:sz w:val="24"/>
          <w:szCs w:val="24"/>
        </w:rPr>
        <w:t>lerine ilişkin esas ve usulleri kapsar.</w:t>
      </w:r>
    </w:p>
    <w:p w:rsidR="000C69E1" w:rsidRPr="001471A1" w:rsidRDefault="00B91292" w:rsidP="001471A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1A1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B22BE1" w:rsidRPr="001471A1" w:rsidRDefault="000C69E1" w:rsidP="001471A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1A1">
        <w:rPr>
          <w:rFonts w:ascii="Times New Roman" w:hAnsi="Times New Roman" w:cs="Times New Roman"/>
          <w:b/>
          <w:sz w:val="24"/>
          <w:szCs w:val="24"/>
        </w:rPr>
        <w:t xml:space="preserve">MADDE 2- </w:t>
      </w:r>
      <w:r w:rsidRPr="001471A1">
        <w:rPr>
          <w:rFonts w:ascii="Times New Roman" w:hAnsi="Times New Roman" w:cs="Times New Roman"/>
          <w:sz w:val="24"/>
          <w:szCs w:val="24"/>
        </w:rPr>
        <w:t>(1)</w:t>
      </w:r>
      <w:r w:rsidRPr="001471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263" w:rsidRPr="001471A1">
        <w:rPr>
          <w:rFonts w:ascii="Times New Roman" w:hAnsi="Times New Roman" w:cs="Times New Roman"/>
          <w:sz w:val="24"/>
          <w:szCs w:val="24"/>
        </w:rPr>
        <w:t>Bu</w:t>
      </w:r>
      <w:r w:rsidRPr="001471A1">
        <w:rPr>
          <w:rFonts w:ascii="Times New Roman" w:hAnsi="Times New Roman" w:cs="Times New Roman"/>
          <w:sz w:val="24"/>
          <w:szCs w:val="24"/>
        </w:rPr>
        <w:t xml:space="preserve"> Yönetmelik, 11/6/2010 tarihli ve 5996 sayılı Veteriner Hizmetleri, Bitki Sağlığı, Gıda ve Yem Kanununun 15 inci maddesine dayanılarak hazırlanmıştır.</w:t>
      </w:r>
    </w:p>
    <w:p w:rsidR="00E46ACA" w:rsidRPr="001471A1" w:rsidRDefault="00E46ACA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:rsidR="001A1A91" w:rsidRPr="001471A1" w:rsidRDefault="008D6F53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3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-(1) </w:t>
      </w:r>
      <w:r w:rsidR="00E46AC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Yönetmelikte geçen;</w:t>
      </w:r>
    </w:p>
    <w:p w:rsidR="001A1A91" w:rsidRPr="00811930" w:rsidRDefault="001A1A91" w:rsidP="00811930">
      <w:pPr>
        <w:pStyle w:val="3-normalyaz"/>
        <w:widowControl w:val="0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FF0000"/>
        </w:rPr>
      </w:pPr>
      <w:r w:rsidRPr="001471A1">
        <w:rPr>
          <w:color w:val="000000"/>
        </w:rPr>
        <w:t>Araştırma Enstitüsü: Bakanlığa bağlı zirai mücadele araştırma faaliyetlerini yürüten enstitülerini,</w:t>
      </w:r>
    </w:p>
    <w:p w:rsidR="00811930" w:rsidRPr="001471A1" w:rsidRDefault="00811930" w:rsidP="00811930">
      <w:pPr>
        <w:pStyle w:val="3-normalyaz"/>
        <w:widowControl w:val="0"/>
        <w:numPr>
          <w:ilvl w:val="0"/>
          <w:numId w:val="11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FF0000"/>
        </w:rPr>
      </w:pPr>
      <w:r>
        <w:rPr>
          <w:color w:val="000000"/>
        </w:rPr>
        <w:t>Bakanlık: Tarım ve Orman Bakanlığını,</w:t>
      </w:r>
    </w:p>
    <w:p w:rsidR="001A1A91" w:rsidRPr="001471A1" w:rsidRDefault="001A1A91" w:rsidP="00811930">
      <w:pPr>
        <w:pStyle w:val="ListeParagraf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Dayanıklı patates çeşidi: </w:t>
      </w:r>
      <w:r w:rsidRPr="001471A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Synchytrium endobioticum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’un belirli bir patotipine/patotiplerine kontaminasyonuna maruz kaldığında, hiçbir dinlenme sporu üretmeyecek şekilde tepki veren patates çeşidini</w:t>
      </w:r>
      <w:r w:rsidR="001B448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1A1A91" w:rsidRPr="001471A1" w:rsidRDefault="00811930" w:rsidP="00811930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1A1A9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A1A91" w:rsidRPr="001471A1">
        <w:rPr>
          <w:rFonts w:ascii="Times New Roman" w:hAnsi="Times New Roman" w:cs="Times New Roman"/>
          <w:color w:val="000000"/>
          <w:sz w:val="24"/>
          <w:szCs w:val="24"/>
        </w:rPr>
        <w:t>Genel Müdürlük: Gıda ve Kontrol Genel Müdürlüğünü,</w:t>
      </w:r>
    </w:p>
    <w:p w:rsidR="001A1A91" w:rsidRPr="001471A1" w:rsidRDefault="00811930" w:rsidP="00811930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</w:pPr>
      <w:r>
        <w:t>d</w:t>
      </w:r>
      <w:r w:rsidR="004B5871">
        <w:t xml:space="preserve">) </w:t>
      </w:r>
      <w:r w:rsidR="001A1A91" w:rsidRPr="001471A1">
        <w:t>KASK sistemi: İl ve ilçe tarım ve orman müdürlükleri tarafından karantinaya tabi zar</w:t>
      </w:r>
      <w:r w:rsidR="00392A65">
        <w:t>arlı organizmalarda yürütülen sü</w:t>
      </w:r>
      <w:r w:rsidR="001A1A91" w:rsidRPr="001471A1">
        <w:t>rvey çalışmalarının ve bulaşık alan bilgilerinin kayıt altına alındığı Tarım Bilgi Sisteminde yer alan karan</w:t>
      </w:r>
      <w:r w:rsidR="00392A65">
        <w:t>tinaya tabi zararlı organizma sü</w:t>
      </w:r>
      <w:r w:rsidR="001A1A91" w:rsidRPr="001471A1">
        <w:t>rveyi kayıt sistemini,</w:t>
      </w:r>
    </w:p>
    <w:p w:rsidR="001A1A91" w:rsidRPr="00811930" w:rsidRDefault="00811930" w:rsidP="00811930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e) </w:t>
      </w:r>
      <w:r w:rsidR="001A1A91" w:rsidRPr="00811930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 bitki: Tohum</w:t>
      </w:r>
      <w:r w:rsid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1A1A91" w:rsidRPr="00811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dışındaki </w:t>
      </w:r>
      <w:r w:rsidR="001A1A91" w:rsidRPr="00811930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Solanum tuberosum</w:t>
      </w:r>
      <w:r w:rsidR="001A1A91" w:rsidRPr="008119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L. bitkileri</w:t>
      </w:r>
      <w:r w:rsid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1A1A91" w:rsidRPr="0081193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1A1A91" w:rsidRPr="001471A1" w:rsidRDefault="001A1A91" w:rsidP="00811930">
      <w:pPr>
        <w:pStyle w:val="3-normalyaz"/>
        <w:widowControl w:val="0"/>
        <w:numPr>
          <w:ilvl w:val="0"/>
          <w:numId w:val="19"/>
        </w:numPr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FF0000"/>
        </w:rPr>
      </w:pPr>
      <w:r w:rsidRPr="001471A1">
        <w:t>Laboratuvar: Bakanlığa bağlı zirai mücadele araştırma faaliyetlerini yürüten enstitü ve zirai karantina mü</w:t>
      </w:r>
      <w:r w:rsidR="00811930">
        <w:t xml:space="preserve">dürlüklerinin laboratuvarları </w:t>
      </w:r>
      <w:r w:rsidR="00811930" w:rsidRPr="00811930">
        <w:t>ile bakanlıkça yetkilendirilmiş laboratuvarları</w:t>
      </w:r>
      <w:r w:rsidR="00811930">
        <w:t>,</w:t>
      </w:r>
    </w:p>
    <w:p w:rsidR="001A1A91" w:rsidRPr="001471A1" w:rsidRDefault="00811930" w:rsidP="00811930">
      <w:pPr>
        <w:pStyle w:val="3-normalyaz"/>
        <w:widowControl w:val="0"/>
        <w:shd w:val="clear" w:color="auto" w:fill="FFFFFF"/>
        <w:tabs>
          <w:tab w:val="left" w:pos="567"/>
          <w:tab w:val="left" w:pos="851"/>
          <w:tab w:val="left" w:pos="993"/>
        </w:tabs>
        <w:spacing w:before="0" w:beforeAutospacing="0" w:after="0" w:afterAutospacing="0" w:line="312" w:lineRule="atLeast"/>
        <w:ind w:firstLine="709"/>
        <w:jc w:val="both"/>
      </w:pPr>
      <w:r>
        <w:t>g)</w:t>
      </w:r>
      <w:r w:rsidR="00766C1A" w:rsidRPr="001471A1">
        <w:t xml:space="preserve"> </w:t>
      </w:r>
      <w:r w:rsidR="001A1A91" w:rsidRPr="001471A1">
        <w:t>Müdürlük: İl ve ilçe tarım ve orman müdürlüklerini,</w:t>
      </w:r>
    </w:p>
    <w:p w:rsidR="009E3073" w:rsidRDefault="00811930" w:rsidP="00B07453">
      <w:pPr>
        <w:pStyle w:val="3-normalyaz"/>
        <w:widowControl w:val="0"/>
        <w:shd w:val="clear" w:color="auto" w:fill="FFFFFF"/>
        <w:tabs>
          <w:tab w:val="left" w:pos="567"/>
          <w:tab w:val="left" w:pos="851"/>
          <w:tab w:val="left" w:pos="1134"/>
        </w:tabs>
        <w:spacing w:before="0" w:beforeAutospacing="0" w:after="0" w:afterAutospacing="0" w:line="312" w:lineRule="atLeast"/>
        <w:ind w:firstLine="709"/>
        <w:jc w:val="both"/>
      </w:pPr>
      <w:r>
        <w:t>ğ</w:t>
      </w:r>
      <w:r w:rsidR="001A1A91" w:rsidRPr="001471A1">
        <w:t xml:space="preserve">) </w:t>
      </w:r>
      <w:r w:rsidR="009E3073" w:rsidRPr="001471A1">
        <w:t>Sürvey:</w:t>
      </w:r>
      <w:r w:rsidR="001471A1" w:rsidRPr="001471A1">
        <w:t xml:space="preserve"> Bir alanda hangi türlerin var olduğ</w:t>
      </w:r>
      <w:r w:rsidR="00660C67">
        <w:t xml:space="preserve">unu ya da zararlı organizma </w:t>
      </w:r>
      <w:proofErr w:type="gramStart"/>
      <w:r w:rsidR="00660C67">
        <w:t>popü</w:t>
      </w:r>
      <w:r w:rsidR="001471A1" w:rsidRPr="001471A1">
        <w:t>lasyonunun</w:t>
      </w:r>
      <w:proofErr w:type="gramEnd"/>
      <w:r w:rsidR="001471A1" w:rsidRPr="001471A1">
        <w:t xml:space="preserve"> özelliklerini belirlemek için belirli bir süre bo</w:t>
      </w:r>
      <w:r w:rsidR="001B4485">
        <w:t>yunca yürütülen resmi prosedürü</w:t>
      </w:r>
      <w:r w:rsidR="001471A1" w:rsidRPr="001471A1">
        <w:t>,</w:t>
      </w:r>
    </w:p>
    <w:p w:rsidR="001471A1" w:rsidRPr="004B5871" w:rsidRDefault="00811930" w:rsidP="00811930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4B58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1471A1" w:rsidRPr="004B58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Zararlı organizma: Patates siğili hastalığına neden olan </w:t>
      </w:r>
      <w:r w:rsidR="001471A1" w:rsidRPr="004B587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Synchytrium endobioticum</w:t>
      </w:r>
      <w:r w:rsidR="001471A1" w:rsidRPr="004B58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(Schilbersky) Percival</w:t>
      </w:r>
      <w:r w:rsidR="0008488A">
        <w:rPr>
          <w:rFonts w:ascii="Times New Roman" w:eastAsia="Times New Roman" w:hAnsi="Times New Roman" w:cs="Times New Roman"/>
          <w:sz w:val="24"/>
          <w:szCs w:val="24"/>
          <w:lang w:eastAsia="tr-TR"/>
        </w:rPr>
        <w:t>’ı</w:t>
      </w:r>
    </w:p>
    <w:p w:rsidR="009E3073" w:rsidRDefault="00C402D4" w:rsidP="001471A1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both"/>
      </w:pPr>
      <w:proofErr w:type="gramStart"/>
      <w:r w:rsidRPr="001471A1">
        <w:t>i</w:t>
      </w:r>
      <w:r w:rsidR="009E3073" w:rsidRPr="001471A1">
        <w:t>fade</w:t>
      </w:r>
      <w:proofErr w:type="gramEnd"/>
      <w:r w:rsidR="009E3073" w:rsidRPr="001471A1">
        <w:t xml:space="preserve"> eder.</w:t>
      </w:r>
    </w:p>
    <w:p w:rsidR="00C0037D" w:rsidRDefault="00C0037D" w:rsidP="002954A8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4F5B00" w:rsidRDefault="004F5B00" w:rsidP="002954A8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4F5B00" w:rsidRDefault="004F5B00" w:rsidP="002954A8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4F5B00" w:rsidRDefault="004F5B00" w:rsidP="002954A8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ind w:firstLine="709"/>
        <w:jc w:val="center"/>
        <w:rPr>
          <w:b/>
        </w:rPr>
      </w:pPr>
    </w:p>
    <w:p w:rsidR="002954A8" w:rsidRPr="002954A8" w:rsidRDefault="002954A8" w:rsidP="009B1C42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jc w:val="center"/>
        <w:rPr>
          <w:b/>
        </w:rPr>
      </w:pPr>
      <w:r w:rsidRPr="002954A8">
        <w:rPr>
          <w:b/>
        </w:rPr>
        <w:lastRenderedPageBreak/>
        <w:t>İKİNCİ BÖLÜM</w:t>
      </w:r>
    </w:p>
    <w:p w:rsidR="002954A8" w:rsidRPr="002954A8" w:rsidRDefault="002954A8" w:rsidP="009B1C42">
      <w:pPr>
        <w:pStyle w:val="3-normalyaz"/>
        <w:widowControl w:val="0"/>
        <w:tabs>
          <w:tab w:val="left" w:pos="567"/>
          <w:tab w:val="left" w:pos="851"/>
          <w:tab w:val="left" w:pos="993"/>
        </w:tabs>
        <w:spacing w:before="0" w:beforeAutospacing="0" w:after="0" w:afterAutospacing="0" w:line="276" w:lineRule="auto"/>
        <w:jc w:val="center"/>
        <w:rPr>
          <w:b/>
        </w:rPr>
      </w:pPr>
      <w:r w:rsidRPr="002954A8">
        <w:rPr>
          <w:b/>
        </w:rPr>
        <w:t>Bulaşık Alanların Tespiti ve Alınacak Tedbirler</w:t>
      </w:r>
    </w:p>
    <w:p w:rsidR="005B5BE8" w:rsidRPr="001471A1" w:rsidRDefault="005B5BE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Sürveyler</w:t>
      </w:r>
      <w:r w:rsidR="003773DC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 laboratuvar testleri</w:t>
      </w:r>
    </w:p>
    <w:p w:rsidR="009E3073" w:rsidRPr="001471A1" w:rsidRDefault="005B5BE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4- </w:t>
      </w:r>
      <w:r w:rsidRPr="001471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(1) 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773DC" w:rsidRPr="00183217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CF752B" w:rsidRPr="00183217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patates bitkilerinin yetiştirildiği veya depolandığı </w:t>
      </w:r>
      <w:r w:rsidR="00792183">
        <w:rPr>
          <w:rFonts w:ascii="Times New Roman" w:eastAsia="Times New Roman" w:hAnsi="Times New Roman" w:cs="Times New Roman"/>
          <w:sz w:val="24"/>
          <w:szCs w:val="24"/>
          <w:lang w:eastAsia="tr-TR"/>
        </w:rPr>
        <w:t>alanlar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1B4485">
        <w:rPr>
          <w:rFonts w:ascii="Times New Roman" w:eastAsia="Times New Roman" w:hAnsi="Times New Roman" w:cs="Times New Roman"/>
          <w:sz w:val="24"/>
          <w:szCs w:val="24"/>
          <w:lang w:eastAsia="tr-TR"/>
        </w:rPr>
        <w:t>konukçu</w:t>
      </w:r>
      <w:r w:rsidR="003B1A6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bitkinin yumru</w:t>
      </w:r>
      <w:r w:rsidR="00DD4E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 kökboğazı ve stolonlarında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DD4E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gör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sel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muayene</w:t>
      </w:r>
      <w:r w:rsidR="001B44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yoluyla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yıllık </w:t>
      </w:r>
      <w:r w:rsidR="00792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risk </w:t>
      </w:r>
      <w:r w:rsidR="0008488A">
        <w:rPr>
          <w:rFonts w:ascii="Times New Roman" w:eastAsia="Times New Roman" w:hAnsi="Times New Roman" w:cs="Times New Roman"/>
          <w:sz w:val="24"/>
          <w:szCs w:val="24"/>
          <w:lang w:eastAsia="tr-TR"/>
        </w:rPr>
        <w:t>esaslı</w:t>
      </w:r>
      <w:r w:rsidR="007921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D4E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sürveyler yapar.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CF752B" w:rsidRPr="001471A1" w:rsidRDefault="005B5BE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Müdürlükler, p</w:t>
      </w:r>
      <w:r w:rsidR="00DD4E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atates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bitkilerin</w:t>
      </w:r>
      <w:r w:rsidR="00DD4E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="003F271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olduğundan şüphelen</w:t>
      </w:r>
      <w:r w:rsid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>il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mesi durumunda,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organizmanın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D4E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belirlenmesi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 </w:t>
      </w:r>
      <w:r w:rsid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ler alı</w:t>
      </w:r>
      <w:r w:rsidR="006B7B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r w:rsidR="006B7B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ilgili laboratuvar tarafından </w:t>
      </w:r>
      <w:r w:rsidR="003B1A6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7A146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3B1A6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1'de belirtilen yöntemler kullanılarak</w:t>
      </w:r>
      <w:r w:rsid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örnekler</w:t>
      </w:r>
      <w:r w:rsidR="003B1A6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F75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test ed</w:t>
      </w:r>
      <w:r w:rsid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>ilir.</w:t>
      </w:r>
    </w:p>
    <w:p w:rsidR="0033289D" w:rsidRPr="001471A1" w:rsidRDefault="0033289D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6B7B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Müdürlükler, </w:t>
      </w:r>
      <w:r w:rsidR="000848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önceki yıl</w:t>
      </w:r>
      <w:r w:rsidR="0008488A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gerçekleştirilen yıllık </w:t>
      </w:r>
      <w:r w:rsidR="0008488A"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sürveylerin sonuçlarını her yıl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B56A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31 </w:t>
      </w:r>
      <w:proofErr w:type="gramStart"/>
      <w:r w:rsidRPr="00B56A88">
        <w:rPr>
          <w:rFonts w:ascii="Times New Roman" w:eastAsia="Times New Roman" w:hAnsi="Times New Roman" w:cs="Times New Roman"/>
          <w:sz w:val="24"/>
          <w:szCs w:val="24"/>
          <w:lang w:eastAsia="tr-TR"/>
        </w:rPr>
        <w:t>Aralık</w:t>
      </w:r>
      <w:r w:rsidR="003F271B" w:rsidRPr="00B56A88">
        <w:rPr>
          <w:rFonts w:ascii="Times New Roman" w:eastAsia="Times New Roman" w:hAnsi="Times New Roman" w:cs="Times New Roman"/>
          <w:sz w:val="24"/>
          <w:szCs w:val="24"/>
          <w:lang w:eastAsia="tr-TR"/>
        </w:rPr>
        <w:t>’a</w:t>
      </w:r>
      <w:r w:rsidRPr="00B56A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488A" w:rsidRPr="00B56A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kadar</w:t>
      </w:r>
      <w:proofErr w:type="gramEnd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0145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Ek</w:t>
      </w:r>
      <w:r w:rsidR="007A146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D2516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 w:rsidR="006B7B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’de yer alan formata uygun olarak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Müdürlüğ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bildirir </w:t>
      </w:r>
      <w:r w:rsidR="003F271B" w:rsidRP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KASK sistemine veri girişlerini yapar.</w:t>
      </w:r>
    </w:p>
    <w:p w:rsidR="00DD4E4D" w:rsidRPr="001471A1" w:rsidRDefault="00C16A4D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Bulaşık üretim </w:t>
      </w:r>
      <w:r w:rsidR="00A53309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yerleri </w:t>
      </w:r>
      <w:r w:rsidR="00DD4E4D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ve </w:t>
      </w:r>
      <w:r w:rsidR="0097214D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bulaşık </w:t>
      </w:r>
      <w:r w:rsidR="00DD4E4D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patates bitkilerin</w:t>
      </w:r>
      <w:r w:rsidR="00C34A7D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DD4E4D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belirlenmesi</w:t>
      </w:r>
    </w:p>
    <w:p w:rsidR="008D133C" w:rsidRPr="001471A1" w:rsidRDefault="008D133C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</w:t>
      </w:r>
      <w:r w:rsidR="006B7B38" w:rsidRPr="001471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- (1)</w:t>
      </w:r>
      <w:r w:rsidR="006B7B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Müdürlük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7171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218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testler </w:t>
      </w:r>
      <w:r w:rsidR="00C0037D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79218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organizmanı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 varlığını</w:t>
      </w:r>
      <w:r w:rsidR="006B7B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resmi olarak doğrulandığı üretim </w:t>
      </w:r>
      <w:r w:rsidR="003B1A6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yer</w:t>
      </w:r>
      <w:r w:rsidR="00A5330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leri</w:t>
      </w:r>
      <w:r w:rsidR="003B1A6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F3156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olarak belirler.</w:t>
      </w:r>
    </w:p>
    <w:p w:rsidR="008D133C" w:rsidRPr="001471A1" w:rsidRDefault="008D133C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F31563" w:rsidRP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organizmayla bulaşık olduğu belirlenen üretim yerinde yetiştirilen veya zararlı organizmanın bulunduğu toprakla teması olan patates bitkileri, resmi olarak bulaşık kabul edilir</w:t>
      </w:r>
      <w:r w:rsidR="00F31563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215AE" w:rsidRPr="001471A1" w:rsidRDefault="004215A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Sınırlandırılmış</w:t>
      </w:r>
      <w:r w:rsidR="008515D6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alanların oluşturulması</w:t>
      </w:r>
    </w:p>
    <w:p w:rsidR="004215AE" w:rsidRPr="001471A1" w:rsidRDefault="008340D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083640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6</w:t>
      </w:r>
      <w:r w:rsidR="00BC4B4A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 </w:t>
      </w:r>
      <w:r w:rsidR="00BC4B4A" w:rsidRPr="001471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(1)</w:t>
      </w:r>
      <w:r w:rsidR="00BC4B4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="00224628">
        <w:rPr>
          <w:rFonts w:ascii="Times New Roman" w:eastAsia="Times New Roman" w:hAnsi="Times New Roman" w:cs="Times New Roman"/>
          <w:sz w:val="24"/>
          <w:szCs w:val="24"/>
          <w:lang w:eastAsia="tr-TR"/>
        </w:rPr>
        <w:t>nın</w:t>
      </w:r>
      <w:r w:rsidR="00BC4B4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varlığının resmi olarak doğrulanması durumunda, </w:t>
      </w:r>
      <w:r w:rsidR="0008364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BC4B4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gecikmeden</w:t>
      </w:r>
      <w:r w:rsidR="00A5330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maddenin</w:t>
      </w:r>
      <w:r w:rsidR="00BC4B4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364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ikinci fıkra</w:t>
      </w:r>
      <w:r w:rsidR="00A5330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sın</w:t>
      </w:r>
      <w:r w:rsidR="0008364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BC4B4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</w:t>
      </w:r>
      <w:r w:rsidR="0008364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sınırlandırı</w:t>
      </w:r>
      <w:r w:rsidR="003B1A6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l</w:t>
      </w:r>
      <w:r w:rsidR="0008364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mış alanı belirler.</w:t>
      </w:r>
      <w:r w:rsidR="009727E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Laboratuvarlar,</w:t>
      </w:r>
      <w:r w:rsidR="00BC4B4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</w:t>
      </w:r>
      <w:r w:rsidR="00224628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B56EE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-</w:t>
      </w:r>
      <w:r w:rsidR="003B1A6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BC4B4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'in 5</w:t>
      </w:r>
      <w:r w:rsidR="009727E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6EE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9727E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r w:rsidR="00BC4B4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belirtilen yöntemleri kullanarak patotipi belirler.</w:t>
      </w:r>
    </w:p>
    <w:p w:rsidR="004215AE" w:rsidRPr="001471A1" w:rsidRDefault="00BC4B4A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4215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Sınırlandırılmış alan aşağıdakilerden oluş</w:t>
      </w:r>
      <w:r w:rsidR="001D737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="004215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r:</w:t>
      </w:r>
    </w:p>
    <w:p w:rsidR="000C6FE0" w:rsidRPr="001471A1" w:rsidRDefault="00071713" w:rsidP="00A73A99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51FE2">
        <w:rPr>
          <w:rFonts w:ascii="Times New Roman" w:eastAsia="Times New Roman" w:hAnsi="Times New Roman" w:cs="Times New Roman"/>
          <w:sz w:val="24"/>
          <w:szCs w:val="24"/>
          <w:lang w:eastAsia="tr-TR"/>
        </w:rPr>
        <w:t>a) Bulaşık alan</w:t>
      </w:r>
      <w:r w:rsidR="00602A5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0C6FE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D544A" w:rsidRPr="00BD544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azından </w:t>
      </w:r>
      <w:r w:rsidR="00602A5F">
        <w:rPr>
          <w:rFonts w:ascii="Times New Roman" w:eastAsia="Times New Roman" w:hAnsi="Times New Roman" w:cs="Times New Roman"/>
          <w:sz w:val="24"/>
          <w:szCs w:val="24"/>
          <w:lang w:eastAsia="tr-TR"/>
        </w:rPr>
        <w:t>z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ararlı organizma</w:t>
      </w:r>
      <w:r w:rsidR="00224628">
        <w:rPr>
          <w:rFonts w:ascii="Times New Roman" w:eastAsia="Times New Roman" w:hAnsi="Times New Roman" w:cs="Times New Roman"/>
          <w:sz w:val="24"/>
          <w:szCs w:val="24"/>
          <w:lang w:eastAsia="tr-TR"/>
        </w:rPr>
        <w:t>yla</w:t>
      </w:r>
      <w:r w:rsidR="000C6FE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D737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0C6FE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 belirlenmiş üretim </w:t>
      </w:r>
      <w:r w:rsidR="001D737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yeri</w:t>
      </w:r>
      <w:r w:rsidR="007A3376">
        <w:rPr>
          <w:rFonts w:ascii="Times New Roman" w:eastAsia="Times New Roman" w:hAnsi="Times New Roman" w:cs="Times New Roman"/>
          <w:sz w:val="24"/>
          <w:szCs w:val="24"/>
          <w:lang w:eastAsia="tr-TR"/>
        </w:rPr>
        <w:t>ni kapsar</w:t>
      </w:r>
      <w:r w:rsidR="00D26FB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602A5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E520B" w:rsidRPr="001471A1" w:rsidRDefault="008515D6" w:rsidP="00A73A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(b) Güvenlik kuşağı (=t</w:t>
      </w:r>
      <w:r w:rsidR="006A6753" w:rsidRPr="001471A1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ampon bölge)</w:t>
      </w:r>
      <w:r w:rsidR="00203E62" w:rsidRPr="001471A1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>;</w:t>
      </w:r>
      <w:r w:rsidR="006A6753" w:rsidRPr="001471A1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t xml:space="preserve"> bulaşık alanı çevreleyen temiz bölge</w:t>
      </w:r>
    </w:p>
    <w:p w:rsidR="00451FE2" w:rsidRPr="00B8533E" w:rsidRDefault="00071713" w:rsidP="00602A5F">
      <w:pPr>
        <w:shd w:val="clear" w:color="auto" w:fill="FFFFFF"/>
        <w:tabs>
          <w:tab w:val="left" w:pos="993"/>
          <w:tab w:val="left" w:pos="1134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92183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="00A73A99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24628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9727E2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üvenlik kuşağı</w:t>
      </w:r>
      <w:r w:rsidR="007A3376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9727E2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A3376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294C6F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ulaşık alanı çevreleyen tampon bölge</w:t>
      </w:r>
      <w:r w:rsidR="007A3376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yi kapsar</w:t>
      </w:r>
      <w:r w:rsidR="00602A5F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8515D6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02A5F" w:rsidRPr="00B8533E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451FE2" w:rsidRPr="00B56A88">
        <w:rPr>
          <w:rFonts w:ascii="Times New Roman" w:eastAsia="Times New Roman" w:hAnsi="Times New Roman"/>
          <w:sz w:val="24"/>
          <w:szCs w:val="24"/>
          <w:lang w:eastAsia="tr-TR"/>
        </w:rPr>
        <w:t>üvenlik kuşağı</w:t>
      </w:r>
      <w:r w:rsidR="00BD631B" w:rsidRPr="00B56A88">
        <w:rPr>
          <w:rFonts w:ascii="Times New Roman" w:eastAsia="Times New Roman" w:hAnsi="Times New Roman"/>
          <w:sz w:val="24"/>
          <w:szCs w:val="24"/>
          <w:lang w:eastAsia="tr-TR"/>
        </w:rPr>
        <w:t>nın</w:t>
      </w:r>
      <w:r w:rsidR="00451FE2" w:rsidRPr="00B56A88">
        <w:rPr>
          <w:rFonts w:ascii="Times New Roman" w:eastAsia="Times New Roman" w:hAnsi="Times New Roman"/>
          <w:sz w:val="24"/>
          <w:szCs w:val="24"/>
          <w:lang w:eastAsia="tr-TR"/>
        </w:rPr>
        <w:t xml:space="preserve"> sınırlandırılması, zararlı organizmanın dinlenme sporlarının yayılma riskinin yanı sıra zararlının biyolojisine, bulaşıklık düzeyine, alanda patates bitkilerinin ekim sıklığı ve dağılımına, ilgili çevresel ve coğrafi koşulları da kapsayan bilimsel esaslara dayan</w:t>
      </w:r>
      <w:r w:rsidR="00B56A88">
        <w:rPr>
          <w:rFonts w:ascii="Times New Roman" w:eastAsia="Times New Roman" w:hAnsi="Times New Roman"/>
          <w:sz w:val="24"/>
          <w:szCs w:val="24"/>
          <w:lang w:eastAsia="tr-TR"/>
        </w:rPr>
        <w:t>an Bakanlık talimatı doğrultusunda yapıl</w:t>
      </w:r>
      <w:r w:rsidR="00451FE2" w:rsidRPr="00B56A88">
        <w:rPr>
          <w:rFonts w:ascii="Times New Roman" w:eastAsia="Times New Roman" w:hAnsi="Times New Roman"/>
          <w:sz w:val="24"/>
          <w:szCs w:val="24"/>
          <w:lang w:eastAsia="tr-TR"/>
        </w:rPr>
        <w:t>ır.</w:t>
      </w:r>
    </w:p>
    <w:p w:rsidR="008515D6" w:rsidRPr="001471A1" w:rsidRDefault="00BC4B4A" w:rsidP="00A73A99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="008515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2451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müdürlük</w:t>
      </w:r>
      <w:r w:rsidR="008515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B56EE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bulaşıklığın </w:t>
      </w:r>
      <w:r w:rsidR="008515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kaynağını belirlemek için </w:t>
      </w:r>
      <w:r w:rsidR="00790F60" w:rsidRPr="00224628">
        <w:rPr>
          <w:rFonts w:ascii="Times New Roman" w:eastAsia="Times New Roman" w:hAnsi="Times New Roman" w:cs="Times New Roman"/>
          <w:sz w:val="24"/>
          <w:szCs w:val="24"/>
          <w:lang w:eastAsia="tr-TR"/>
        </w:rPr>
        <w:t>gerekli</w:t>
      </w:r>
      <w:r w:rsidR="00AA587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araştırmaları yapar. </w:t>
      </w:r>
      <w:r w:rsidR="008515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Sınırlandırılmış alanın </w:t>
      </w:r>
      <w:r w:rsidR="00AA587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oluşturulmasından</w:t>
      </w:r>
      <w:r w:rsidR="008515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</w:t>
      </w:r>
      <w:r w:rsidR="00B56EE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taşınmış olanlar dahil</w:t>
      </w:r>
      <w:r w:rsidR="00AA587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8515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A587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 alanla bağlantılı</w:t>
      </w:r>
      <w:r w:rsidR="006E377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patates bitkilerini</w:t>
      </w:r>
      <w:r w:rsidR="00B56EE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515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izler.</w:t>
      </w:r>
    </w:p>
    <w:p w:rsidR="00F80227" w:rsidRPr="001471A1" w:rsidRDefault="00F80227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8321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Eradikasyon</w:t>
      </w:r>
      <w:r w:rsidR="00B16DA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2462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</w:t>
      </w:r>
    </w:p>
    <w:p w:rsidR="003A5B0D" w:rsidRDefault="008340D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790F60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7</w:t>
      </w:r>
      <w:r w:rsidR="00423B9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 </w:t>
      </w:r>
      <w:r w:rsidR="00423B9E" w:rsidRPr="001471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(1)</w:t>
      </w:r>
      <w:r w:rsidR="00423B9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Müdürlük, b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ulaşık</w:t>
      </w:r>
      <w:r w:rsidR="00423B9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alandan gelen patates yumru, bitki ve bitki artıkları</w:t>
      </w:r>
      <w:r w:rsidR="00A73A99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423B9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zararlının daha fazla yayılmasını </w:t>
      </w:r>
      <w:r w:rsidR="00224628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</w:t>
      </w:r>
      <w:r w:rsidR="00423B9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 için güvenli koşullar altında imha ed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423B9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işlen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mesini sağlar</w:t>
      </w:r>
      <w:r w:rsidR="00423B9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 Hastalık bulaşmış patateslerin çıkış yerinin belirlenmesi mümkün değilse, hastalıklı yumruların bulunduğu tüm parti, zararlının daha fazla yayılmasını önleyen koşullar altında imha edil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="00423B9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işlenir.</w:t>
      </w:r>
      <w:r w:rsidR="00D503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İşleme,</w:t>
      </w:r>
      <w:r w:rsidR="00D503D3" w:rsidRPr="00D503D3">
        <w:t xml:space="preserve"> </w:t>
      </w:r>
      <w:r w:rsidR="00D503D3">
        <w:t>z</w:t>
      </w:r>
      <w:r w:rsidR="00D503D3" w:rsidRPr="00D503D3">
        <w:rPr>
          <w:rFonts w:ascii="Times New Roman" w:eastAsia="Times New Roman" w:hAnsi="Times New Roman" w:cs="Times New Roman"/>
          <w:sz w:val="24"/>
          <w:szCs w:val="24"/>
          <w:lang w:eastAsia="tr-TR"/>
        </w:rPr>
        <w:t>ararlı organizmanın yayılması için tanımlanabilir risk teşkil etmediği belirlenmiş olan, resmi olarak onaylanmış atık tesisleri bulunan ve</w:t>
      </w:r>
      <w:r w:rsidR="00C078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503D3" w:rsidRPr="00D503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çıkış yapan araçların temizlenmesi </w:t>
      </w:r>
      <w:r w:rsidR="00C0783B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D503D3" w:rsidRPr="00D503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dezenfeksiyonu için bir sistemi olan endüstriyel işleme tesislerin</w:t>
      </w:r>
      <w:r w:rsidR="00C0783B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D503D3" w:rsidRPr="00D503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</w:t>
      </w:r>
      <w:r w:rsidR="00C0783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ivedilikle </w:t>
      </w:r>
      <w:r w:rsidR="00D503D3" w:rsidRPr="00D503D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doğrudan </w:t>
      </w:r>
      <w:r w:rsidR="00F67A0D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yapılır.</w:t>
      </w:r>
      <w:r w:rsidR="0093257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80227" w:rsidRPr="001471A1" w:rsidRDefault="00423B9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Müdürlük, b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ulaşık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alanda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 </w:t>
      </w:r>
      <w:r w:rsidR="00224628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lerin tümü</w:t>
      </w:r>
      <w:r w:rsidR="00B76925">
        <w:rPr>
          <w:rFonts w:ascii="Times New Roman" w:eastAsia="Times New Roman" w:hAnsi="Times New Roman" w:cs="Times New Roman"/>
          <w:sz w:val="24"/>
          <w:szCs w:val="24"/>
          <w:lang w:eastAsia="tr-TR"/>
        </w:rPr>
        <w:t>nü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al</w:t>
      </w:r>
      <w:r w:rsidR="00336B2C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 w:rsidR="00F8022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0C6FE0" w:rsidRPr="001471A1" w:rsidRDefault="000C6FE0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atates </w:t>
      </w:r>
      <w:r w:rsidR="00FD16CD">
        <w:rPr>
          <w:rFonts w:ascii="Times New Roman" w:eastAsia="Times New Roman" w:hAnsi="Times New Roman" w:cs="Times New Roman"/>
          <w:sz w:val="24"/>
          <w:szCs w:val="24"/>
          <w:lang w:eastAsia="tr-TR"/>
        </w:rPr>
        <w:t>ekilmez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FD16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yetiştirilmez 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veya depolanmaz.</w:t>
      </w:r>
    </w:p>
    <w:p w:rsidR="000C6FE0" w:rsidRPr="001471A1" w:rsidRDefault="000C6FE0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b) 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33FFD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belirlenen alanda, üretim materyali olarak kullanılmak üzere</w:t>
      </w:r>
      <w:r w:rsidR="003B1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hiçbir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bitki (fide, fidan vb. gi</w:t>
      </w:r>
      <w:r w:rsidR="003B11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 her çeşit üretim materyali) </w:t>
      </w:r>
      <w:r w:rsidR="00E33F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üretilemez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veya depolan</w:t>
      </w:r>
      <w:r w:rsidR="00E33FFD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ma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z.</w:t>
      </w:r>
    </w:p>
    <w:p w:rsidR="000C6FE0" w:rsidRPr="001471A1" w:rsidRDefault="000C6FE0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(a) ve (b) bentlerinde belirtilenler dışındaki </w:t>
      </w:r>
      <w:r w:rsidRPr="002C2B8A">
        <w:rPr>
          <w:rFonts w:ascii="Times New Roman" w:eastAsia="Times New Roman" w:hAnsi="Times New Roman" w:cs="Times New Roman"/>
          <w:sz w:val="24"/>
          <w:szCs w:val="24"/>
          <w:lang w:eastAsia="tr-TR"/>
        </w:rPr>
        <w:t>(bulaşık alanda yetiştirilen ancak konukçu olmayan)</w:t>
      </w:r>
      <w:r w:rsidR="002C2B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77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bitkiler,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877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üzerlerinde bulunan bulaşık toprak aracılığı ile </w:t>
      </w:r>
      <w:r w:rsidR="00F32EDE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Synchytrium</w:t>
      </w:r>
      <w:r w:rsidR="00087788" w:rsidRPr="001471A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endobioticum</w:t>
      </w:r>
      <w:r w:rsidR="00FD16CD">
        <w:rPr>
          <w:rFonts w:ascii="Times New Roman" w:eastAsia="Times New Roman" w:hAnsi="Times New Roman" w:cs="Times New Roman"/>
          <w:sz w:val="24"/>
          <w:szCs w:val="24"/>
          <w:lang w:eastAsia="tr-TR"/>
        </w:rPr>
        <w:t>’u</w:t>
      </w:r>
      <w:r w:rsidR="000877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yayma konusunda tanımlanabilir bir risk oluşturacağından, bulaşık alandan </w:t>
      </w:r>
      <w:r w:rsidR="003868FA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güvenlik kuşağına</w:t>
      </w:r>
      <w:r w:rsidR="000877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taşınmadan</w:t>
      </w:r>
      <w:r w:rsidR="006A3A88" w:rsidRPr="006A3A88">
        <w:t xml:space="preserve"> </w:t>
      </w:r>
      <w:r w:rsidR="006A3A88" w:rsidRP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>veya sınırlandırılmış alan dışına çıkarılmadan</w:t>
      </w:r>
      <w:r w:rsidR="000877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önce veya hemen sonrasında, uygun yöntemlerle bu topraktan temizlenir.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0C6FE0" w:rsidRPr="001471A1" w:rsidRDefault="0008778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0C6FE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Makineler ve </w:t>
      </w:r>
      <w:proofErr w:type="gramStart"/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</w:t>
      </w:r>
      <w:proofErr w:type="gramEnd"/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, bulaşık alandan çıkarılmadan önce veya çıkarıldıktan hemen sonra ve güve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lik kuşağı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>nın içinde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sınırlandırılmış alanın dışında bulunan herhangi bir üretim sahasına 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>taşınmadan</w:t>
      </w:r>
      <w:r w:rsidR="006A3A88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önce toprak ve bitki kalıntılarından temizlenir.</w:t>
      </w:r>
    </w:p>
    <w:p w:rsidR="000C6FE0" w:rsidRPr="001471A1" w:rsidRDefault="003868FA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0C6FE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bir alan kaynaklı herhangi bir toprak veya artık, yalnızca zararlının tanımlanabilir bir yayılma riskinin bulunmadığını garanti eden koşullar altında o bölgenin dışına taşınabilir ve kullanılabilir veya biriktirilebilir.</w:t>
      </w:r>
    </w:p>
    <w:p w:rsidR="00982260" w:rsidRPr="001471A1" w:rsidRDefault="00423B9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="0098226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 maddenin i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kinci fıkrasının</w:t>
      </w:r>
      <w:r w:rsidR="0098226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(a) ve (b) bentlerinde belirtilenler dışında, toprak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tan</w:t>
      </w:r>
      <w:r w:rsidR="0098226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3709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arındırılmamış</w:t>
      </w:r>
      <w:r w:rsidR="0098226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bitkiler, ancak aşağıdaki iki koşulun yerine getirilmesi halinde, sınırlandırılmış alan dışına çıkarılabilir:</w:t>
      </w:r>
    </w:p>
    <w:p w:rsidR="000C6FE0" w:rsidRPr="001471A1" w:rsidRDefault="000C6FE0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944AB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ararlı organizmayı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yayma konusunda tanımlanabilir bir risk olmamasını sağla</w:t>
      </w:r>
      <w:r w:rsidR="00944AB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mak amacıyla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uygun yöntemlerle bu bitkilerden toprağı </w:t>
      </w:r>
      <w:r w:rsidR="00405FD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arındırmak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44AB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için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taşınır</w:t>
      </w:r>
      <w:r w:rsidR="00405FD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0C6FE0" w:rsidRPr="001471A1" w:rsidRDefault="000C6FE0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405FD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oprağın 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nakli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6A3A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taşınması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resmi gözetim altında gerçekleşir ve zararlı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nın yayılmasını etkili bir şekilde 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 için uygun </w:t>
      </w:r>
      <w:r w:rsidR="00224628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ler alınır.</w:t>
      </w:r>
    </w:p>
    <w:p w:rsidR="00B02023" w:rsidRPr="001471A1" w:rsidRDefault="00B02023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(4) </w:t>
      </w:r>
      <w:r w:rsidR="00405FD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Müdürlük</w:t>
      </w:r>
      <w:r w:rsidR="00B769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güvenlik kuşağında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aşağıdakileri </w:t>
      </w:r>
      <w:r w:rsidR="00B769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tedbirleri </w:t>
      </w:r>
      <w:proofErr w:type="gramStart"/>
      <w:r w:rsidR="00B76925">
        <w:rPr>
          <w:rFonts w:ascii="Times New Roman" w:eastAsia="Times New Roman" w:hAnsi="Times New Roman" w:cs="Times New Roman"/>
          <w:sz w:val="24"/>
          <w:szCs w:val="24"/>
          <w:lang w:eastAsia="tr-TR"/>
        </w:rPr>
        <w:t>alır :</w:t>
      </w:r>
      <w:proofErr w:type="gramEnd"/>
      <w:r w:rsidR="00B7692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B02023" w:rsidRPr="001471A1" w:rsidRDefault="00B02023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005012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Güvenlik kuşağında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 sınırlandırılmış alanın dışında yeniden dikilmesi amaçl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anan hiçbir bitki yetiştirilmez.</w:t>
      </w:r>
    </w:p>
    <w:p w:rsidR="00B02023" w:rsidRPr="001471A1" w:rsidRDefault="00B02023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005012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Güvenlik kuşağında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 patates yetiştirilecekse bulaşık alanda bulunan zararlı</w:t>
      </w:r>
      <w:r w:rsid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nın belirlenen patotip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>(ler)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ine veya </w:t>
      </w:r>
      <w:r w:rsidR="00FF4B1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8 inci</w:t>
      </w:r>
      <w:r w:rsidR="007C467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addede belirtil</w:t>
      </w:r>
      <w:r w:rsidR="002300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ülkede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varlığı bilinen tüm patotiplere </w:t>
      </w:r>
      <w:r w:rsidR="00037BA8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bir çeşit yetiştirilir.</w:t>
      </w:r>
    </w:p>
    <w:p w:rsidR="00591F52" w:rsidRPr="001471A1" w:rsidRDefault="00B02023" w:rsidP="00591F52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="00C31BB0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>Güvenlik kuşağı</w:t>
      </w:r>
      <w:r w:rsidR="007C4674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menşeli 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herhangi bir toprak veya </w:t>
      </w:r>
      <w:r w:rsidR="00591F52" w:rsidRP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>bitki artığı</w:t>
      </w:r>
      <w:r w:rsidR="00591F5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591F52" w:rsidRPr="00834FD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alnızca zararlıyı yaymak için tanımlanabilir bir risk</w:t>
      </w:r>
      <w:r w:rsidR="00591F52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olma</w:t>
      </w:r>
      <w:r w:rsidR="00591F52">
        <w:rPr>
          <w:rFonts w:ascii="Times New Roman" w:eastAsia="Times New Roman" w:hAnsi="Times New Roman" w:cs="Times New Roman"/>
          <w:sz w:val="24"/>
          <w:szCs w:val="24"/>
          <w:lang w:eastAsia="tr-TR"/>
        </w:rPr>
        <w:t>dığının ortaya konulduğu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koşullar altında</w:t>
      </w:r>
      <w:r w:rsidR="00591F5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sınırlandırılmış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bölgenin dışına taşın</w:t>
      </w:r>
      <w:r w:rsidR="00591F52"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="006A3A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 bölge dışında 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</w:t>
      </w:r>
      <w:r w:rsidR="00591F52">
        <w:rPr>
          <w:rFonts w:ascii="Times New Roman" w:eastAsia="Times New Roman" w:hAnsi="Times New Roman" w:cs="Times New Roman"/>
          <w:sz w:val="24"/>
          <w:szCs w:val="24"/>
          <w:lang w:eastAsia="tr-TR"/>
        </w:rPr>
        <w:t>abilir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r w:rsidR="00591F52">
        <w:rPr>
          <w:rFonts w:ascii="Times New Roman" w:eastAsia="Times New Roman" w:hAnsi="Times New Roman" w:cs="Times New Roman"/>
          <w:sz w:val="24"/>
          <w:szCs w:val="24"/>
          <w:lang w:eastAsia="tr-TR"/>
        </w:rPr>
        <w:t>depolanabilir</w:t>
      </w:r>
      <w:r w:rsidR="00591F5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0BC2" w:rsidRPr="001471A1" w:rsidRDefault="00834FDA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34FD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Zararlı organizmanın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0BC2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patotiplerine dayanıklı patates çeşitleri</w:t>
      </w:r>
    </w:p>
    <w:p w:rsidR="00BA0242" w:rsidRDefault="001C2017" w:rsidP="00C30149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MADDE </w:t>
      </w:r>
      <w:r w:rsidR="008E364C" w:rsidRPr="001471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- (1)</w:t>
      </w:r>
      <w:r w:rsidR="00B0202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A0242" w:rsidRP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Bir patates çeşidi, zararlı organizmanın belirli bir patotipi ile kontaminasyon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BA0242" w:rsidRP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maruz kaldığında, hiçbir dinlenme sporu üretmeyecek şekilde tepki verdiğinde o </w:t>
      </w:r>
      <w:r w:rsidR="00BA0242" w:rsidRPr="00C30149">
        <w:rPr>
          <w:rFonts w:ascii="Times New Roman" w:eastAsia="Times New Roman" w:hAnsi="Times New Roman" w:cs="Times New Roman"/>
          <w:sz w:val="24"/>
          <w:szCs w:val="24"/>
          <w:lang w:eastAsia="tr-TR"/>
        </w:rPr>
        <w:t>patotipe dayanıklı olduğu belirlenir</w:t>
      </w:r>
      <w:r w:rsidR="00BA0242" w:rsidRP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640BC2" w:rsidRPr="001471A1" w:rsidRDefault="001C2017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AF400E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 belirleme</w:t>
      </w:r>
      <w:r w:rsidR="00640BC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testi, E</w:t>
      </w:r>
      <w:r w:rsidR="00B0145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9254E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-3' </w:t>
      </w:r>
      <w:r w:rsidR="00640BC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te belirtilen proto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kole uygun olarak yapılır. </w:t>
      </w:r>
      <w:r w:rsidR="00640BC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çeşitlerinin dayanıklılık derecesi, E</w:t>
      </w:r>
      <w:r w:rsidR="001542D5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9254E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-3</w:t>
      </w:r>
      <w:r w:rsidR="00640BC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'</w:t>
      </w:r>
      <w:r w:rsidR="00633FC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40BC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teki tabloda belirtilen standart </w:t>
      </w:r>
      <w:r w:rsidR="00AF400E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skala değerlerine </w:t>
      </w:r>
      <w:r w:rsidR="00640BC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 </w:t>
      </w:r>
      <w:r w:rsidR="00AF400E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belirlenir</w:t>
      </w:r>
      <w:r w:rsidR="00640BC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773DC" w:rsidRDefault="003773DC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600EF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(3) </w:t>
      </w:r>
      <w:r w:rsidR="00A600EF" w:rsidRPr="00A600EF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</w:t>
      </w:r>
      <w:r w:rsidR="00A600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enstitüleri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her yıl 31 Ocak'a kadar, </w:t>
      </w:r>
      <w:r w:rsidR="001447BC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>önceki yıl boyunca tescill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enen </w:t>
      </w:r>
      <w:r w:rsidR="001447BC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>çeşitler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1447BC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EK-5'te atıfta bulunulan resmi testlerle zararlı organizma</w:t>
      </w:r>
      <w:r w:rsid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="001447BC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>a karşı dayanıklı oldu</w:t>
      </w:r>
      <w:r w:rsidR="00C36E44">
        <w:rPr>
          <w:rFonts w:ascii="Times New Roman" w:eastAsia="Times New Roman" w:hAnsi="Times New Roman" w:cs="Times New Roman"/>
          <w:sz w:val="24"/>
          <w:szCs w:val="24"/>
          <w:lang w:eastAsia="tr-TR"/>
        </w:rPr>
        <w:t>ğu</w:t>
      </w:r>
      <w:r w:rsidR="001447BC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belirlenen</w:t>
      </w:r>
      <w:r w:rsidR="00170B08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447BC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>tüm yeni patates çeşitlerinin listesini</w:t>
      </w:r>
      <w:r w:rsidR="00A600EF" w:rsidRPr="001447B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Müdürlüğe bildirir.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ç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eşitler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birlikte, 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çeşitlerin </w:t>
      </w:r>
      <w:r w:rsidR="00A600EF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oldukları zararlı</w:t>
      </w:r>
      <w:r w:rsidR="00A600E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C36E44">
        <w:rPr>
          <w:rFonts w:ascii="Times New Roman" w:eastAsia="Times New Roman" w:hAnsi="Times New Roman" w:cs="Times New Roman"/>
          <w:sz w:val="24"/>
          <w:szCs w:val="24"/>
          <w:lang w:eastAsia="tr-TR"/>
        </w:rPr>
        <w:t>n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ın türleri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patotipleri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ni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>, virülans grupları</w:t>
      </w:r>
      <w:r w:rsidR="00170B08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A600EF" w:rsidRPr="00F63A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popülasyonları ile nispi duyarlılıklarını belirtirler.</w:t>
      </w:r>
    </w:p>
    <w:p w:rsidR="00C30149" w:rsidRDefault="00C3014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30149" w:rsidRPr="001471A1" w:rsidRDefault="00C3014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:rsidR="00FA62B4" w:rsidRPr="001471A1" w:rsidRDefault="001B1883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Dayanıklı</w:t>
      </w:r>
      <w:r w:rsidR="00FA62B4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patates çeşidinde </w:t>
      </w:r>
      <w:r w:rsidR="001542D5" w:rsidRPr="001542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zararlı organizma</w:t>
      </w:r>
      <w:r w:rsidR="008D1FD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542D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bulaşıklığının</w:t>
      </w:r>
      <w:r w:rsidR="00FA62B4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1542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doğrulandığına</w:t>
      </w:r>
      <w:r w:rsidR="00FA62B4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dair bildirim</w:t>
      </w:r>
    </w:p>
    <w:p w:rsidR="00FA62B4" w:rsidRPr="001471A1" w:rsidRDefault="008340D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974088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7414AA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 </w:t>
      </w:r>
      <w:r w:rsidR="007414A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Müdürlük, zararlının 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herhangi bir 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patotipinde veya yeni bir patotip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>ind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 şüphelenilen bir değişiklikle 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>ilişkili</w:t>
      </w:r>
      <w:r w:rsidR="000231C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olarak, dayanıklı bir patates çeşidinin etkinliğindeki bozulma veya değişiklikten kaynaklanan zararlının herhangi bir 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>bulgusu</w:t>
      </w:r>
      <w:r w:rsidR="000231C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025AE" w:rsidRP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belirlendiğinde ilgili araştırma enstitüsüne bildirir.</w:t>
      </w:r>
    </w:p>
    <w:p w:rsidR="00FA62B4" w:rsidRPr="001471A1" w:rsidRDefault="007414AA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9740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546DC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maddenin birinci fıkrası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bildirilen tüm durumlarda, </w:t>
      </w:r>
      <w:r w:rsidR="009740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araştırma enstitüsü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C17C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8C17CE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8C17C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-1 </w:t>
      </w:r>
      <w:r w:rsidR="008C17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</w:t>
      </w:r>
      <w:r w:rsidR="008C17C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8C17CE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8C17C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-3'te belirtilen yöntemleri kullanarak</w:t>
      </w:r>
      <w:r w:rsidR="008C17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</w:t>
      </w:r>
      <w:r w:rsidR="0066161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patotipi araştır</w:t>
      </w:r>
      <w:r w:rsidR="009740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gramStart"/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bildirilen  </w:t>
      </w:r>
      <w:r w:rsidR="008C17CE"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</w:t>
      </w:r>
      <w:proofErr w:type="gramEnd"/>
      <w:r w:rsidR="008C17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zararlının 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söz konusu </w:t>
      </w:r>
      <w:r w:rsidR="00FA62B4" w:rsidRPr="005867E8">
        <w:rPr>
          <w:rFonts w:ascii="Times New Roman" w:eastAsia="Times New Roman" w:hAnsi="Times New Roman" w:cs="Times New Roman"/>
          <w:sz w:val="24"/>
          <w:szCs w:val="24"/>
          <w:lang w:eastAsia="tr-TR"/>
        </w:rPr>
        <w:t>patotip</w:t>
      </w:r>
      <w:r w:rsidR="008C17CE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FA62B4" w:rsidRPr="005867E8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="006616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ki 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</w:t>
      </w:r>
      <w:r w:rsidR="00661612">
        <w:rPr>
          <w:rFonts w:ascii="Times New Roman" w:eastAsia="Times New Roman" w:hAnsi="Times New Roman" w:cs="Times New Roman"/>
          <w:sz w:val="24"/>
          <w:szCs w:val="24"/>
          <w:lang w:eastAsia="tr-TR"/>
        </w:rPr>
        <w:t>değişiklikten ya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1612">
        <w:rPr>
          <w:rFonts w:ascii="Times New Roman" w:eastAsia="Times New Roman" w:hAnsi="Times New Roman" w:cs="Times New Roman"/>
          <w:sz w:val="24"/>
          <w:szCs w:val="24"/>
          <w:lang w:eastAsia="tr-TR"/>
        </w:rPr>
        <w:t>da yeni bir patotipten kaynaklı olup olmadığını belirler.</w:t>
      </w:r>
    </w:p>
    <w:p w:rsidR="00FA62B4" w:rsidRDefault="00F175D0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(3)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40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Araştırma enstitüleri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740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="0098015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maddenin birinci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98015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ikinci fıkra</w:t>
      </w:r>
      <w:r w:rsidR="009740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ları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uyarınca elde edilen bilgileri derhal kaydeder</w:t>
      </w:r>
      <w:r w:rsidR="009740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Genel Müdürlüğe bildirir.</w:t>
      </w:r>
    </w:p>
    <w:p w:rsidR="00FA62B4" w:rsidRPr="001471A1" w:rsidRDefault="00FA62B4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Tedbirlerin iptali</w:t>
      </w:r>
    </w:p>
    <w:p w:rsidR="00166A4D" w:rsidRPr="001471A1" w:rsidRDefault="00F87FF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="00974088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- </w:t>
      </w:r>
      <w:r w:rsidR="005D4F5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39664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04A0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müdürlük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sınırlandırılmış </w:t>
      </w:r>
      <w:r w:rsid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bir 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alan</w:t>
      </w:r>
      <w:r w:rsid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la ilgili olarak,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</w:t>
      </w:r>
      <w:r w:rsidR="001F2164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="00FF377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-4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'te belirtilen koşullara uygun</w:t>
      </w:r>
      <w:r w:rsidR="000231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şekilde</w:t>
      </w:r>
      <w:r w:rsid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zararlı</w:t>
      </w:r>
      <w:r w:rsidR="008D4C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dan arın</w:t>
      </w:r>
      <w:r w:rsid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mış hale geldiğinde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97408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7 nci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 uyarınca </w:t>
      </w:r>
      <w:r w:rsid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kabul edilen </w:t>
      </w:r>
      <w:r w:rsidR="00BA710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tedbirleri 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iptal ede</w:t>
      </w:r>
      <w:r w:rsid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bili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FA62B4" w:rsidRPr="001471A1" w:rsidRDefault="005D4F5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(2) </w:t>
      </w:r>
      <w:r w:rsidR="00104A0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 maddenin birinci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fıkrası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uyarınca tedbirlerin kaldırılmasının ardından, </w:t>
      </w:r>
      <w:r w:rsidR="00104A0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müdürlük</w:t>
      </w:r>
      <w:r w:rsidR="00FA62B4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>, zararlı</w:t>
      </w:r>
      <w:r w:rsidR="008D4C1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organizman</w:t>
      </w:r>
      <w:r w:rsidR="00FA62B4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ın </w:t>
      </w:r>
      <w:r w:rsidR="002C1022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alanda bulunan</w:t>
      </w:r>
      <w:r w:rsidR="00FA62B4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patotipine </w:t>
      </w:r>
      <w:r w:rsid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hassas</w:t>
      </w:r>
      <w:r w:rsidR="00FA62B4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 </w:t>
      </w:r>
      <w:r w:rsidR="002C1022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çeşidinin dikilmesini sağla</w:t>
      </w:r>
      <w:r w:rsidR="00104A08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2C1022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hasatta ilk </w:t>
      </w:r>
      <w:r w:rsidR="00BA7100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ürünü </w:t>
      </w:r>
      <w:r w:rsidR="002C1022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denetler. </w:t>
      </w:r>
      <w:r w:rsidR="0014066B">
        <w:rPr>
          <w:rFonts w:ascii="Times New Roman" w:eastAsia="Times New Roman" w:hAnsi="Times New Roman" w:cs="Times New Roman"/>
          <w:sz w:val="24"/>
          <w:szCs w:val="24"/>
          <w:lang w:eastAsia="tr-TR"/>
        </w:rPr>
        <w:t>İ</w:t>
      </w:r>
      <w:r w:rsidR="00D216FB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lgili müdürlüğün kontrolü </w:t>
      </w:r>
      <w:r w:rsidR="0014066B">
        <w:rPr>
          <w:rFonts w:ascii="Times New Roman" w:eastAsia="Times New Roman" w:hAnsi="Times New Roman" w:cs="Times New Roman"/>
          <w:sz w:val="24"/>
          <w:szCs w:val="24"/>
          <w:lang w:eastAsia="tr-TR"/>
        </w:rPr>
        <w:t>tamamlanmadan i</w:t>
      </w:r>
      <w:r w:rsidR="00D216FB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lk ürünün </w:t>
      </w:r>
      <w:r w:rsidR="00152E2A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sınırlandırılmış alan dışına</w:t>
      </w:r>
      <w:r w:rsidR="00152E2A" w:rsidRPr="00B90ACC" w:rsidDel="00104A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04A08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>nakli</w:t>
      </w:r>
      <w:r w:rsidR="00D216FB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>ne izin verilmez</w:t>
      </w:r>
      <w:r w:rsidR="00FA62B4" w:rsidRPr="00B90ACC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A62B4" w:rsidRPr="001471A1" w:rsidRDefault="00105A3D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(3) </w:t>
      </w:r>
      <w:r w:rsidR="00104A0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</w:t>
      </w:r>
      <w:r w:rsidR="005D4F5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addenin birinci fıkrasından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istisna olarak</w:t>
      </w:r>
      <w:r w:rsidR="00166A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B511E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04A0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B6B1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alanın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belirli bölüm</w:t>
      </w:r>
      <w:r w:rsidR="00196B91">
        <w:rPr>
          <w:rFonts w:ascii="Times New Roman" w:eastAsia="Times New Roman" w:hAnsi="Times New Roman" w:cs="Times New Roman"/>
          <w:sz w:val="24"/>
          <w:szCs w:val="24"/>
          <w:lang w:eastAsia="tr-TR"/>
        </w:rPr>
        <w:t>lerinde zararlının son tespitini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r w:rsidR="00CB6B1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üzerinden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10 yıl </w:t>
      </w:r>
      <w:r w:rsidR="00CB6B1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geçtikten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sonra, </w:t>
      </w:r>
      <w:r w:rsidR="00020E6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ilgili müdürlük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CB6B1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Ek-4' ün 2 nci maddesi uyarınca,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sınırlandırılmış alanların ilgili bölümlerinde geçerli olan </w:t>
      </w:r>
      <w:r w:rsidR="00224628">
        <w:rPr>
          <w:rFonts w:ascii="Times New Roman" w:eastAsia="Times New Roman" w:hAnsi="Times New Roman" w:cs="Times New Roman"/>
          <w:sz w:val="24"/>
          <w:szCs w:val="24"/>
          <w:lang w:eastAsia="tr-TR"/>
        </w:rPr>
        <w:t>tedbir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leri kısmen iptal ede</w:t>
      </w:r>
      <w:r w:rsidR="001025AE">
        <w:rPr>
          <w:rFonts w:ascii="Times New Roman" w:eastAsia="Times New Roman" w:hAnsi="Times New Roman" w:cs="Times New Roman"/>
          <w:sz w:val="24"/>
          <w:szCs w:val="24"/>
          <w:lang w:eastAsia="tr-TR"/>
        </w:rPr>
        <w:t>bilir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FA62B4" w:rsidRPr="001471A1" w:rsidRDefault="005D4F5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0C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7 nci </w:t>
      </w:r>
      <w:r w:rsidR="00DD05F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maddenin ikinci fıkrasının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(a)</w:t>
      </w:r>
      <w:r w:rsidR="00123941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D05F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bendinden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istisna olarak, </w:t>
      </w:r>
      <w:r w:rsidR="00230C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7 nci</w:t>
      </w:r>
      <w:r w:rsidR="00105A3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</w:t>
      </w:r>
      <w:r w:rsidR="00135C2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addede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öngörülen tedbirlerin kısm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i iptaline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ilişkin koşulların yerine getirilmesi halinde, </w:t>
      </w:r>
      <w:r w:rsidR="006009EB">
        <w:rPr>
          <w:rFonts w:ascii="Times New Roman" w:eastAsia="Times New Roman" w:hAnsi="Times New Roman" w:cs="Times New Roman"/>
          <w:sz w:val="24"/>
          <w:szCs w:val="24"/>
          <w:lang w:eastAsia="tr-TR"/>
        </w:rPr>
        <w:t>dikim amaçlı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C726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olmayan </w:t>
      </w:r>
      <w:r w:rsidR="00C7550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patatesler</w:t>
      </w:r>
      <w:r w:rsidR="000C726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zararlının </w:t>
      </w:r>
      <w:r w:rsidR="00201CA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bulaşık üretim yerinde bulunan 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patotiplerine veya </w:t>
      </w:r>
      <w:r w:rsidR="00230C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ülkede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0C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varlığı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bilinen tüm patoti</w:t>
      </w:r>
      <w:r w:rsidR="00C7550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plere </w:t>
      </w:r>
      <w:r w:rsidR="00196B91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</w:t>
      </w:r>
      <w:r w:rsidR="00C7550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 çeşit olma</w:t>
      </w:r>
      <w:r w:rsidR="00BA382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sı koşuluyla yetiştiril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eb</w:t>
      </w:r>
      <w:r w:rsidR="00BA382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li</w:t>
      </w:r>
      <w:r w:rsidR="00BA382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="00FA62B4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C30149" w:rsidRDefault="00C30149" w:rsidP="009B1C42">
      <w:pPr>
        <w:pStyle w:val="2-ortabaslk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00"/>
        </w:rPr>
      </w:pPr>
    </w:p>
    <w:p w:rsidR="00F275F9" w:rsidRPr="001471A1" w:rsidRDefault="00A6084E" w:rsidP="009B1C42">
      <w:pPr>
        <w:pStyle w:val="2-ortabaslk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ÜÇÜNCÜ</w:t>
      </w:r>
      <w:r w:rsidR="00F275F9" w:rsidRPr="001471A1">
        <w:rPr>
          <w:b/>
          <w:color w:val="000000"/>
        </w:rPr>
        <w:t xml:space="preserve"> BÖLÜM</w:t>
      </w:r>
    </w:p>
    <w:p w:rsidR="00F275F9" w:rsidRPr="001471A1" w:rsidRDefault="00F275F9" w:rsidP="009B1C42">
      <w:pPr>
        <w:pStyle w:val="2-ortabaslk"/>
        <w:tabs>
          <w:tab w:val="left" w:pos="993"/>
        </w:tabs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1471A1">
        <w:rPr>
          <w:b/>
          <w:color w:val="000000"/>
        </w:rPr>
        <w:t>Çeşitli ve Son Hükümler</w:t>
      </w:r>
    </w:p>
    <w:p w:rsidR="006170C3" w:rsidRPr="001471A1" w:rsidRDefault="006170C3" w:rsidP="001471A1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71A1">
        <w:rPr>
          <w:b/>
          <w:bCs/>
        </w:rPr>
        <w:t>İdari yaptırımlar</w:t>
      </w:r>
    </w:p>
    <w:p w:rsidR="006170C3" w:rsidRPr="001471A1" w:rsidRDefault="006170C3" w:rsidP="001471A1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71A1">
        <w:rPr>
          <w:b/>
          <w:bCs/>
        </w:rPr>
        <w:t>MADDE 1</w:t>
      </w:r>
      <w:r w:rsidR="002A3DDD" w:rsidRPr="001471A1">
        <w:rPr>
          <w:b/>
          <w:bCs/>
        </w:rPr>
        <w:t>1</w:t>
      </w:r>
      <w:r w:rsidRPr="001471A1">
        <w:rPr>
          <w:b/>
          <w:bCs/>
        </w:rPr>
        <w:t xml:space="preserve">- </w:t>
      </w:r>
      <w:r w:rsidRPr="001471A1">
        <w:t>(1) Bu Yönetmelik hükümlerine aykırı davrananlar hakkında 5996 sayılı Veteriner Hizmetleri, Bitki Sağlığı, Gıda ve Yem Kanununun 38 inci maddesinin ilgili hükümlerine göre idari yaptırım</w:t>
      </w:r>
      <w:r w:rsidR="00164B6A">
        <w:t xml:space="preserve"> </w:t>
      </w:r>
      <w:r w:rsidRPr="001471A1">
        <w:t>uygulanır.</w:t>
      </w:r>
    </w:p>
    <w:p w:rsidR="00B02023" w:rsidRPr="005867E8" w:rsidRDefault="00B02023" w:rsidP="001471A1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</w:rPr>
      </w:pPr>
      <w:r w:rsidRPr="005867E8">
        <w:rPr>
          <w:b/>
        </w:rPr>
        <w:t>Avrupa Birliği mevzuatına uyum</w:t>
      </w:r>
    </w:p>
    <w:p w:rsidR="006170C3" w:rsidRDefault="00B02023" w:rsidP="001471A1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5867E8">
        <w:rPr>
          <w:b/>
        </w:rPr>
        <w:t>MADDE 1</w:t>
      </w:r>
      <w:r w:rsidR="002A3DDD" w:rsidRPr="005867E8">
        <w:rPr>
          <w:b/>
        </w:rPr>
        <w:t>2</w:t>
      </w:r>
      <w:r w:rsidRPr="005867E8">
        <w:rPr>
          <w:b/>
        </w:rPr>
        <w:t>-</w:t>
      </w:r>
      <w:r w:rsidR="006170C3" w:rsidRPr="005867E8">
        <w:rPr>
          <w:b/>
        </w:rPr>
        <w:t xml:space="preserve"> </w:t>
      </w:r>
      <w:r w:rsidR="006170C3" w:rsidRPr="005867E8">
        <w:t>(1)</w:t>
      </w:r>
      <w:r w:rsidR="006170C3" w:rsidRPr="005867E8">
        <w:rPr>
          <w:b/>
        </w:rPr>
        <w:t xml:space="preserve"> </w:t>
      </w:r>
      <w:r w:rsidR="006170C3" w:rsidRPr="005867E8">
        <w:t>Bu Yönetmeli</w:t>
      </w:r>
      <w:r w:rsidR="00113311">
        <w:t>k,</w:t>
      </w:r>
      <w:r w:rsidR="006170C3" w:rsidRPr="005867E8">
        <w:t xml:space="preserve"> </w:t>
      </w:r>
      <w:r w:rsidR="00113311" w:rsidRPr="005867E8">
        <w:rPr>
          <w:i/>
        </w:rPr>
        <w:t>Synchytrium endobioticum’</w:t>
      </w:r>
      <w:r w:rsidR="00113311" w:rsidRPr="005867E8">
        <w:t xml:space="preserve">un </w:t>
      </w:r>
      <w:r w:rsidR="00113311" w:rsidRPr="005867E8">
        <w:rPr>
          <w:bCs/>
        </w:rPr>
        <w:t xml:space="preserve">(Schilbersky) Percival Eradikasyonu ve Yayılmasının Önlenmesi İçin Alınacak Tedbirlere </w:t>
      </w:r>
      <w:r w:rsidR="00113311" w:rsidRPr="005867E8">
        <w:t xml:space="preserve">ilişkin </w:t>
      </w:r>
      <w:r w:rsidR="006170C3" w:rsidRPr="005867E8">
        <w:t>Avrupa Birliğinin 1</w:t>
      </w:r>
      <w:r w:rsidR="00113311">
        <w:t>1</w:t>
      </w:r>
      <w:r w:rsidR="00514E26" w:rsidRPr="005867E8">
        <w:t xml:space="preserve">/7/2022 tarihli </w:t>
      </w:r>
      <w:r w:rsidR="006170C3" w:rsidRPr="005867E8">
        <w:t>2022/119</w:t>
      </w:r>
      <w:r w:rsidR="00113311">
        <w:t>5</w:t>
      </w:r>
      <w:r w:rsidR="006170C3" w:rsidRPr="005867E8">
        <w:t xml:space="preserve"> sayılı </w:t>
      </w:r>
      <w:r w:rsidR="00113311">
        <w:t>Komisyon Uygulama Tüzüğü</w:t>
      </w:r>
      <w:r w:rsidR="00113311" w:rsidRPr="005867E8">
        <w:t xml:space="preserve"> </w:t>
      </w:r>
      <w:r w:rsidR="006170C3" w:rsidRPr="005867E8">
        <w:t xml:space="preserve">dikkate </w:t>
      </w:r>
      <w:r w:rsidR="009F3DE4">
        <w:t>alınarak Avrupa Birliği mevzuatına uyum çerçevesinde hazırlanmıştır.</w:t>
      </w:r>
    </w:p>
    <w:p w:rsidR="006170C3" w:rsidRPr="001471A1" w:rsidRDefault="006170C3" w:rsidP="001471A1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71A1">
        <w:rPr>
          <w:b/>
          <w:bCs/>
        </w:rPr>
        <w:t>Yürürlük</w:t>
      </w:r>
    </w:p>
    <w:p w:rsidR="006170C3" w:rsidRPr="001471A1" w:rsidRDefault="006170C3" w:rsidP="001471A1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71A1">
        <w:rPr>
          <w:b/>
          <w:bCs/>
        </w:rPr>
        <w:t>MADDE 1</w:t>
      </w:r>
      <w:r w:rsidR="000726BF">
        <w:rPr>
          <w:b/>
          <w:bCs/>
        </w:rPr>
        <w:t>3</w:t>
      </w:r>
      <w:r w:rsidRPr="001471A1">
        <w:rPr>
          <w:b/>
          <w:bCs/>
        </w:rPr>
        <w:t xml:space="preserve">- </w:t>
      </w:r>
      <w:r w:rsidRPr="001471A1">
        <w:t>(1) Bu Yönetmelik yayımı tarihinde yürürlüğe girer.</w:t>
      </w:r>
    </w:p>
    <w:p w:rsidR="006170C3" w:rsidRPr="001471A1" w:rsidRDefault="006170C3" w:rsidP="001471A1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71A1">
        <w:rPr>
          <w:b/>
          <w:bCs/>
        </w:rPr>
        <w:t>Yürütme</w:t>
      </w:r>
    </w:p>
    <w:p w:rsidR="006170C3" w:rsidRPr="001471A1" w:rsidRDefault="006170C3" w:rsidP="001471A1">
      <w:pPr>
        <w:pStyle w:val="3-normalyaz"/>
        <w:tabs>
          <w:tab w:val="left" w:pos="993"/>
        </w:tabs>
        <w:spacing w:before="0" w:beforeAutospacing="0" w:after="0" w:afterAutospacing="0" w:line="276" w:lineRule="auto"/>
        <w:ind w:firstLine="709"/>
        <w:jc w:val="both"/>
      </w:pPr>
      <w:r w:rsidRPr="001471A1">
        <w:rPr>
          <w:b/>
          <w:bCs/>
        </w:rPr>
        <w:t>MADDE 1</w:t>
      </w:r>
      <w:r w:rsidR="000726BF">
        <w:rPr>
          <w:b/>
          <w:bCs/>
        </w:rPr>
        <w:t>4</w:t>
      </w:r>
      <w:r w:rsidRPr="001471A1">
        <w:rPr>
          <w:b/>
          <w:bCs/>
        </w:rPr>
        <w:t xml:space="preserve">- </w:t>
      </w:r>
      <w:r w:rsidRPr="001471A1">
        <w:t>(1) Bu Yönetmelik hükümlerini Tarım ve Orman Bakanı yürütür.</w:t>
      </w:r>
    </w:p>
    <w:p w:rsidR="00E94057" w:rsidRPr="001471A1" w:rsidRDefault="00E94057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</w:t>
      </w:r>
      <w:r w:rsidR="002A3DDD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-1</w:t>
      </w:r>
    </w:p>
    <w:p w:rsidR="00E94057" w:rsidRPr="001471A1" w:rsidRDefault="00E16266" w:rsidP="00E16266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16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ZARARLI ORGANİZMANIN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TESPİTİ VE TANISI İÇİN TEST YÖNTEMLERİ</w:t>
      </w:r>
    </w:p>
    <w:p w:rsidR="00E94057" w:rsidRPr="001471A1" w:rsidRDefault="00AD5AB5" w:rsidP="001471A1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94057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Sporlar aracılığıyla test etme</w:t>
      </w:r>
    </w:p>
    <w:p w:rsidR="00E94057" w:rsidRPr="001471A1" w:rsidRDefault="00C75503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Tespit ve tanı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lama, topraktan eleme yöntemi ile elde edilen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="00E16266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0E061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dinlenme sporları veya doğrudan bitki materyalinden elde edilen yaz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lık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por keselerinin (sporangiyumların)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belirlenmesi ile yapılır.</w:t>
      </w:r>
    </w:p>
    <w:p w:rsidR="00E94057" w:rsidRPr="001471A1" w:rsidRDefault="00AD5AB5" w:rsidP="001471A1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94057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Tespit yöntemleri</w:t>
      </w:r>
    </w:p>
    <w:p w:rsidR="00E94057" w:rsidRPr="001471A1" w:rsidRDefault="00E16266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1626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Zararlı organizmanın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sporlarının topraktan ekstraksiyonu için aşağıdaki yöntemlerden biri kullanılır:</w:t>
      </w:r>
    </w:p>
    <w:p w:rsidR="00603B18" w:rsidRPr="001471A1" w:rsidRDefault="00603B1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1471A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ntr1-L_2022185EN.01007001-E0001" w:history="1">
        <w:r w:rsidRPr="001471A1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 xml:space="preserve">Pratt (1976) </w:t>
        </w:r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</w:t>
        </w:r>
        <w:r w:rsidRPr="00C3014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1</w:t>
        </w:r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)</w:t>
        </w:r>
      </w:hyperlink>
      <w:r w:rsidR="004E56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bildirilen </w:t>
      </w:r>
      <w:r w:rsidR="004E56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eleme yöntemi,</w:t>
      </w:r>
    </w:p>
    <w:p w:rsidR="00C75503" w:rsidRPr="001471A1" w:rsidRDefault="00603B1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1471A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van Leeuwen vd.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(2005) </w:t>
      </w:r>
      <w:hyperlink r:id="rId7" w:anchor="ntr2-L_2022185EN.01007001-E0002" w:history="1"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(2)</w:t>
        </w:r>
      </w:hyperlink>
      <w:r w:rsidR="004E56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bildirilen </w:t>
      </w:r>
      <w:r w:rsidR="004E56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eleme yöntemi,</w:t>
      </w:r>
    </w:p>
    <w:p w:rsidR="00603B18" w:rsidRPr="001471A1" w:rsidRDefault="00603B1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1471A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</w:t>
      </w:r>
      <w:r w:rsidR="00201CAA" w:rsidRPr="00201CAA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Yüksek hacimli örnek işleme süreçleri için Wander vd. (2007) </w:t>
      </w:r>
      <w:r w:rsidR="00201CAA" w:rsidRPr="00CF614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tr-TR"/>
        </w:rPr>
        <w:t>(3)</w:t>
      </w:r>
      <w:r w:rsidR="00201CAA" w:rsidRPr="00201CAA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tarafından bildirilen yoğunluk aşamalı (zonal) santrifüjleme tekniği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94057" w:rsidRPr="001471A1" w:rsidRDefault="00AD5AB5" w:rsidP="001471A1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94057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Tanımlama yöntemleri</w:t>
      </w:r>
    </w:p>
    <w:p w:rsidR="00E94057" w:rsidRPr="001471A1" w:rsidRDefault="00E94057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Ekstraksiyondan sonra, </w:t>
      </w:r>
      <w:r w:rsidR="00E16266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organizmanı</w:t>
      </w:r>
      <w:r w:rsidR="00E1626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sporları aşağı</w:t>
      </w:r>
      <w:r w:rsidR="00C7550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daki yöntemlerden biri ile tanı</w:t>
      </w:r>
      <w:r w:rsidR="00E16266">
        <w:rPr>
          <w:rFonts w:ascii="Times New Roman" w:eastAsia="Times New Roman" w:hAnsi="Times New Roman" w:cs="Times New Roman"/>
          <w:sz w:val="24"/>
          <w:szCs w:val="24"/>
          <w:lang w:eastAsia="tr-TR"/>
        </w:rPr>
        <w:t>mlan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ır:</w:t>
      </w:r>
    </w:p>
    <w:p w:rsidR="003D1D38" w:rsidRPr="001471A1" w:rsidRDefault="003D1D3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a) 100x – 400x büyütmede ışık mikroskobu altında morfolojik tanılama</w:t>
      </w:r>
      <w:r w:rsidR="004E56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D1D38" w:rsidRPr="001471A1" w:rsidRDefault="003D1D3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Lévesque </w:t>
      </w:r>
      <w:r w:rsidR="00201CAA" w:rsidRPr="00C30149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vd</w:t>
      </w:r>
      <w:r w:rsidRPr="001471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  <w:r w:rsidRPr="001471A1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 xml:space="preserve"> (2001) </w:t>
      </w:r>
      <w:hyperlink r:id="rId8" w:anchor="ntr4-L_2022185EN.01007001-E0004" w:history="1"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(4)</w:t>
        </w:r>
      </w:hyperlink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van den Boogert </w:t>
      </w:r>
      <w:r w:rsidR="00201CAA" w:rsidRPr="00C30149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vd</w:t>
      </w:r>
      <w:r w:rsidR="00201CA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.</w:t>
      </w:r>
      <w:r w:rsidRPr="001471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(2005) </w:t>
      </w:r>
      <w:hyperlink r:id="rId9" w:anchor="ntr5-L_2022185EN.01007001-E0005" w:history="1"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(5)</w:t>
        </w:r>
      </w:hyperlink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yapılan bildirimlere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dayalı primerler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ıldığı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geleneksel </w:t>
      </w:r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polimeraz zincir reaksiyonu (PCR),</w:t>
      </w:r>
    </w:p>
    <w:p w:rsidR="003D1D38" w:rsidRPr="001471A1" w:rsidRDefault="003D1D3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c) van Gent-Pelzer </w:t>
      </w:r>
      <w:r w:rsidR="00201CAA" w:rsidRPr="00C30149">
        <w:rPr>
          <w:rFonts w:ascii="Times New Roman" w:eastAsia="Times New Roman" w:hAnsi="Times New Roman" w:cs="Times New Roman"/>
          <w:iCs/>
          <w:sz w:val="24"/>
          <w:szCs w:val="24"/>
          <w:lang w:eastAsia="tr-TR"/>
        </w:rPr>
        <w:t>vd</w:t>
      </w:r>
      <w:r w:rsidRPr="001471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.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(2010) </w:t>
      </w:r>
      <w:hyperlink r:id="rId10" w:anchor="ntr6-L_2022185EN.01007001-E0006" w:history="1"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(6)</w:t>
        </w:r>
      </w:hyperlink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bildirilen gerçek zamanlı</w:t>
      </w:r>
      <w:r w:rsidR="00201CAA" w:rsidRPr="00201CAA" w:rsidDel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(r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eal time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PCR</w:t>
      </w:r>
      <w:r w:rsidR="004E56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3D1D38" w:rsidRPr="001471A1" w:rsidRDefault="002274AC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3D1D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Smith </w:t>
      </w:r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="00201CAA" w:rsidRPr="00C30149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 w:rsidR="003D1D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(2014) </w:t>
      </w:r>
      <w:hyperlink r:id="rId11" w:anchor="ntr7-L_2022185EN.01007001-E0007" w:history="1">
        <w:r w:rsidR="003D1D38"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(7)</w:t>
        </w:r>
      </w:hyperlink>
      <w:r w:rsidR="003D1D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bildirilen gerçek zamanlı (real time) </w:t>
      </w:r>
      <w:proofErr w:type="gramStart"/>
      <w:r w:rsidR="00201CAA" w:rsidRP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PCR</w:t>
      </w:r>
      <w:r w:rsidR="00201CAA" w:rsidRPr="00201CAA" w:rsidDel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56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</w:p>
    <w:p w:rsidR="00C75503" w:rsidRPr="001471A1" w:rsidRDefault="00AD5AB5" w:rsidP="001471A1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75503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Dinlenme sporlarının canlılığı</w:t>
      </w:r>
    </w:p>
    <w:p w:rsidR="00E94057" w:rsidRPr="001471A1" w:rsidRDefault="00E94057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Dinlenme sporlarının canlılığı, mikroskobik inceleme veya </w:t>
      </w:r>
      <w:r w:rsidR="00C7550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biyoa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naliz </w:t>
      </w:r>
      <w:r w:rsidR="00AD55C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ile</w:t>
      </w:r>
      <w:r w:rsid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01CAA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belirlenebilir</w:t>
      </w:r>
      <w:r w:rsidR="00AD55C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D222AD" w:rsidRP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>Spor keselerinin (sporangiyumların)</w:t>
      </w:r>
      <w:r w:rsid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canlılığı, laktofenol veya su içine yerleştirilmiş </w:t>
      </w:r>
      <w:r w:rsidR="00D222AD" w:rsidRP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keselerinin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mikroskobik incelemesi ile beli</w:t>
      </w:r>
      <w:r w:rsidR="00AD55C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rlenebilir (Przetakiewicz 2015) </w:t>
      </w:r>
      <w:hyperlink r:id="rId12" w:anchor="ntr8-L_2022185EN.01007001-E0008" w:history="1">
        <w:r w:rsidR="00AD55C6"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(8</w:t>
        </w:r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)</w:t>
        </w:r>
      </w:hyperlink>
      <w:r w:rsidR="00AD55C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Granüler içerikli veya hafif yuvarlatılmış protoplazmalı </w:t>
      </w:r>
      <w:r w:rsidR="00D222AD" w:rsidRP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keselerinin </w:t>
      </w:r>
      <w:r w:rsidR="00AD55C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canlı olarak, 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alıcı olarak plazmolize olanlar veya görünür içeriği olmayanlar</w:t>
      </w:r>
      <w:r w:rsid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ölü ol</w:t>
      </w:r>
      <w:r w:rsid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>duğu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kabul edilir.</w:t>
      </w:r>
    </w:p>
    <w:p w:rsidR="00E94057" w:rsidRPr="001471A1" w:rsidRDefault="00E94057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Alternatif olarak veya şüphe durumunda, 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Ek-4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'ün 3</w:t>
      </w:r>
      <w:r w:rsidR="00E16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üncü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açıklandığı gibi bir </w:t>
      </w:r>
      <w:r w:rsidR="00D222AD" w:rsidRP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biyoanaliz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gerçekleştirilebilir.</w:t>
      </w:r>
    </w:p>
    <w:p w:rsidR="00E94057" w:rsidRPr="001471A1" w:rsidRDefault="00AD5AB5" w:rsidP="001471A1">
      <w:pPr>
        <w:pStyle w:val="ListeParagraf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94057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Patotiplerin belirlenmesi</w:t>
      </w:r>
    </w:p>
    <w:p w:rsidR="00E94057" w:rsidRPr="001471A1" w:rsidRDefault="00E94057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Patotiplerin belirlenmesi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nde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taze siğiller </w:t>
      </w:r>
      <w:r w:rsidR="006B4A12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kullanılır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94057" w:rsidRPr="001471A1" w:rsidRDefault="00AD55C6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Test için inokulum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aşağıdaki yöntemlerden biri ile üretilir:</w:t>
      </w:r>
    </w:p>
    <w:p w:rsidR="003D1D38" w:rsidRPr="001471A1" w:rsidRDefault="003D1D38" w:rsidP="001471A1">
      <w:pPr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a) Aşağıdaki iki adımdan oluşan SASA (Science and Advice for Scottish Agriculture) yöntemi:</w:t>
      </w:r>
    </w:p>
    <w:p w:rsidR="003D1D38" w:rsidRPr="001471A1" w:rsidRDefault="003D1D3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1) İnokulum üretimi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Eski (kahverengi) siğil dokusu küçük parçalara ayrılarak sertleşene kadar oda sıcaklığında hava</w:t>
      </w:r>
      <w:r w:rsid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>da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kurutul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r. Daha sonra bu sert dokular elle veya mekanik olarak </w:t>
      </w:r>
      <w:r w:rsid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>öğütülür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Öğütülmüş malzeme kuru elemeden geçirilerek </w:t>
      </w:r>
      <w:r w:rsidR="00D222A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25 ila 75 µm</w:t>
      </w:r>
      <w:r w:rsid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>’lik</w:t>
      </w:r>
      <w:r w:rsidR="00D222A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fraksiyon</w:t>
      </w:r>
      <w:proofErr w:type="gramEnd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toplan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daha sonra Pratt (1976)</w:t>
      </w:r>
      <w:r w:rsidRPr="001471A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 xml:space="preserve">(1)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222AD" w:rsidRPr="00D222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bildirilen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kloroform yönt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emi kullanılarak ekstrakte edil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="001A7D7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D1D38" w:rsidRPr="001471A1" w:rsidRDefault="003D1D3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2) Taze siğil üretimi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Yaklaşık 10 mg ekstrakte edilmiş dinlenme sporları, küçük bir plastik petri kabında 10 ml steril damıtılmış suyun yüzeyine bırakılır ve çimlenene kadar karanlıkta 20°C'de inkübe edilir.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Yaklaşık 1 ila 2 mm uzunluğunda küçük filizli patates yumruları, işaretli filizleri yukarı bakacak şekilde nemli </w:t>
      </w:r>
      <w:proofErr w:type="gramStart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kağıt</w:t>
      </w:r>
      <w:proofErr w:type="gramEnd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mendille kaplı şeffaf plastik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kutulara yerleştirilir. Sürgünler, bir şırınga kullanılarak eritilmiş vazelin ile </w:t>
      </w:r>
      <w:r w:rsidR="00E067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halka şeklinde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çevrelenir. Halka kırılmamış ve spor süspansiyonunu sızıntı yapmadan tutacak kadar yüksek olmalıdır.</w:t>
      </w:r>
      <w:r w:rsidR="00B943F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10 ml çimlenen dinlenme sporları, steril su ile 20 ml'ye seyreltil</w:t>
      </w:r>
      <w:r w:rsidR="00E067EB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sürgün tamamen spor süspansiyonuna daldırılıncaya kadar bir pipet veya bir sıkma şişesi kullanılarak halkaların içine yerleştirilir. Plastik kutular kapaklarla kapatıl</w:t>
      </w:r>
      <w:r w:rsidR="00E067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arak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10 °C'de 4 gün inkübe ed</w:t>
      </w:r>
      <w:r w:rsidR="00E067EB">
        <w:rPr>
          <w:rFonts w:ascii="Times New Roman" w:eastAsia="Times New Roman" w:hAnsi="Times New Roman" w:cs="Times New Roman"/>
          <w:sz w:val="24"/>
          <w:szCs w:val="24"/>
          <w:lang w:eastAsia="tr-TR"/>
        </w:rPr>
        <w:t>ilir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E067EB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rdından kutular açılarak, inokulum ve vazelin halkaları </w:t>
      </w:r>
      <w:r w:rsidR="00E067EB">
        <w:rPr>
          <w:rFonts w:ascii="Times New Roman" w:eastAsia="Times New Roman" w:hAnsi="Times New Roman" w:cs="Times New Roman"/>
          <w:sz w:val="24"/>
          <w:szCs w:val="24"/>
          <w:lang w:eastAsia="tr-TR"/>
        </w:rPr>
        <w:t>uzaklaştırılır</w:t>
      </w:r>
      <w:r w:rsidR="00E067E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kutular 15 ila 18 °C'de, 16 saat </w:t>
      </w:r>
      <w:r w:rsidR="00D822C0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ışıkta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067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sisleme ile nemlendirilen serada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inkubasyona bırakılır.</w:t>
      </w:r>
    </w:p>
    <w:p w:rsidR="003D1D38" w:rsidRPr="001471A1" w:rsidRDefault="003D1D3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Spiekermann &amp; Kothoff (1924) </w:t>
      </w:r>
      <w:r w:rsidR="00E067EB" w:rsidRPr="00E067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tarafından bildirilen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yöntem </w:t>
      </w:r>
      <w:hyperlink r:id="rId13" w:anchor="ntr9-L_2022185EN.01007001-E0009" w:history="1"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(9)</w:t>
        </w:r>
      </w:hyperlink>
    </w:p>
    <w:p w:rsidR="003D1D38" w:rsidRPr="001471A1" w:rsidRDefault="003D1D3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Potoček </w:t>
      </w:r>
      <w:r w:rsidRPr="001471A1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et al.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(1991) </w:t>
      </w:r>
      <w:hyperlink r:id="rId14" w:anchor="ntr10-L_2022185EN.01007001-E0010" w:history="1">
        <w:r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(10)</w:t>
        </w:r>
      </w:hyperlink>
      <w:r w:rsidR="00953CF7" w:rsidRPr="00953CF7">
        <w:t xml:space="preserve"> </w:t>
      </w:r>
      <w:r w:rsidR="00953CF7" w:rsidRP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bildirilen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yöntem</w:t>
      </w:r>
    </w:p>
    <w:p w:rsidR="003D1D38" w:rsidRPr="001471A1" w:rsidRDefault="002274AC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="003D1D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Glynne-Lemmerzahl [Glynne 1925 </w:t>
      </w:r>
      <w:hyperlink r:id="rId15" w:anchor="ntr11-L_2022185EN.01007001-E0011" w:history="1">
        <w:r w:rsidR="003D1D38"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(11)</w:t>
        </w:r>
      </w:hyperlink>
      <w:r w:rsidR="003D1D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; Lemmerzahl 1930 </w:t>
      </w:r>
      <w:hyperlink r:id="rId16" w:anchor="ntr12-L_2022185EN.01007001-E0012" w:history="1">
        <w:r w:rsidR="003D1D38"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(12)</w:t>
        </w:r>
      </w:hyperlink>
      <w:r w:rsidR="003D1D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; Noble and Glynne 1970 </w:t>
      </w:r>
      <w:hyperlink r:id="rId17" w:anchor="ntr13-L_2022185EN.01007001-E0013" w:history="1">
        <w:r w:rsidR="003D1D38" w:rsidRPr="00CF614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tr-TR"/>
          </w:rPr>
          <w:t>(13)</w:t>
        </w:r>
      </w:hyperlink>
      <w:r w:rsidR="003D1D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]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3CF7" w:rsidRP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tarafından bildirilen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yöntem</w:t>
      </w:r>
      <w:r w:rsidR="003D1D3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E94057" w:rsidRPr="001471A1" w:rsidRDefault="00911B75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Avrupa’da olduğu bilinen 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1(D1), 2(G1), 6(O1), 18(T1) ve 38(Nevşehir) tüm patotiplerin belirlenmesi için, 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>farklı</w:t>
      </w:r>
      <w:r w:rsidR="00953CF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çeşitleri ile 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ayırıcı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enfeksiyon testi yapılmalıdır. Tabloda </w:t>
      </w:r>
      <w:r w:rsidR="00953CF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r w:rsidR="00953CF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çeşitleri 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kullanılmalıdır</w:t>
      </w:r>
      <w:r w:rsidR="00E532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9405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Enfeksiyon testi (d) maddesinde belirtilen protokol izlenerek yapılmalıdır (Glynne-Lemmerzahl yöntemi).</w:t>
      </w:r>
    </w:p>
    <w:p w:rsidR="00E94057" w:rsidRPr="001471A1" w:rsidRDefault="00953CF7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</w:t>
      </w:r>
      <w:r w:rsidR="00B61C89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atates çeşitlerin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E94057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5321E" w:rsidRPr="00E5321E">
        <w:rPr>
          <w:rFonts w:ascii="Times New Roman" w:eastAsia="Times New Roman" w:hAnsi="Times New Roman"/>
          <w:b/>
          <w:bCs/>
          <w:i/>
          <w:sz w:val="24"/>
          <w:szCs w:val="24"/>
          <w:lang w:eastAsia="tr-TR"/>
        </w:rPr>
        <w:t>Synchytrium endobioticum</w:t>
      </w:r>
      <w:r w:rsidR="00E5321E" w:rsidRPr="00E5321E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’un</w:t>
      </w:r>
      <w:r w:rsidR="00E5321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61C89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patotiple</w:t>
      </w:r>
      <w:r w:rsidR="009407CC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rin</w:t>
      </w:r>
      <w:r w:rsidR="00CF614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seçici duyarlılığı </w:t>
      </w:r>
    </w:p>
    <w:tbl>
      <w:tblPr>
        <w:tblStyle w:val="TableGrid"/>
        <w:tblW w:w="878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1418"/>
        <w:gridCol w:w="1275"/>
        <w:gridCol w:w="1418"/>
      </w:tblGrid>
      <w:tr w:rsidR="003D1D38" w:rsidRPr="001471A1" w:rsidTr="001F3CA5">
        <w:trPr>
          <w:trHeight w:val="312"/>
          <w:jc w:val="center"/>
        </w:trPr>
        <w:tc>
          <w:tcPr>
            <w:tcW w:w="2689" w:type="dxa"/>
            <w:vMerge w:val="restart"/>
            <w:vAlign w:val="center"/>
          </w:tcPr>
          <w:p w:rsidR="003D1D38" w:rsidRPr="001471A1" w:rsidRDefault="003D1D38" w:rsidP="00E16266">
            <w:pPr>
              <w:tabs>
                <w:tab w:val="left" w:pos="993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Patates Çeşitleri</w:t>
            </w:r>
          </w:p>
        </w:tc>
        <w:tc>
          <w:tcPr>
            <w:tcW w:w="6095" w:type="dxa"/>
            <w:gridSpan w:val="5"/>
          </w:tcPr>
          <w:p w:rsidR="003D1D38" w:rsidRPr="001471A1" w:rsidRDefault="00E16266" w:rsidP="001F3CA5">
            <w:pPr>
              <w:tabs>
                <w:tab w:val="left" w:pos="993"/>
              </w:tabs>
              <w:spacing w:line="259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Zararlı organizmanı</w:t>
            </w:r>
            <w:r w:rsidRPr="001471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="003D1D38" w:rsidRPr="001471A1">
              <w:rPr>
                <w:rFonts w:ascii="Times New Roman" w:hAnsi="Times New Roman" w:cs="Times New Roman"/>
                <w:sz w:val="24"/>
                <w:szCs w:val="24"/>
              </w:rPr>
              <w:t>patotipleri</w:t>
            </w:r>
          </w:p>
        </w:tc>
      </w:tr>
      <w:tr w:rsidR="003D1D38" w:rsidRPr="001471A1" w:rsidTr="001F3CA5">
        <w:trPr>
          <w:trHeight w:val="313"/>
          <w:jc w:val="center"/>
        </w:trPr>
        <w:tc>
          <w:tcPr>
            <w:tcW w:w="2689" w:type="dxa"/>
            <w:vMerge/>
          </w:tcPr>
          <w:p w:rsidR="003D1D38" w:rsidRPr="001471A1" w:rsidRDefault="003D1D38" w:rsidP="001471A1">
            <w:pPr>
              <w:tabs>
                <w:tab w:val="left" w:pos="993"/>
              </w:tabs>
              <w:spacing w:line="259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1(D1)</w:t>
            </w:r>
          </w:p>
        </w:tc>
        <w:tc>
          <w:tcPr>
            <w:tcW w:w="992" w:type="dxa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2(G1)</w:t>
            </w:r>
          </w:p>
        </w:tc>
        <w:tc>
          <w:tcPr>
            <w:tcW w:w="1418" w:type="dxa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6(O1)</w:t>
            </w:r>
          </w:p>
        </w:tc>
        <w:tc>
          <w:tcPr>
            <w:tcW w:w="1275" w:type="dxa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18(T1)</w:t>
            </w:r>
          </w:p>
        </w:tc>
        <w:tc>
          <w:tcPr>
            <w:tcW w:w="1418" w:type="dxa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38(Nevşehir</w:t>
            </w:r>
            <w:r w:rsidR="00F47BC4" w:rsidRPr="001471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301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(14)</w:t>
            </w:r>
          </w:p>
        </w:tc>
      </w:tr>
      <w:tr w:rsidR="003D1D38" w:rsidRPr="001471A1" w:rsidTr="001F3CA5">
        <w:trPr>
          <w:trHeight w:val="326"/>
          <w:jc w:val="center"/>
        </w:trPr>
        <w:tc>
          <w:tcPr>
            <w:tcW w:w="2689" w:type="dxa"/>
          </w:tcPr>
          <w:p w:rsidR="003D1D38" w:rsidRPr="001471A1" w:rsidRDefault="003D1D38" w:rsidP="00E16266">
            <w:pPr>
              <w:tabs>
                <w:tab w:val="left" w:pos="993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Tomensa/Evora/Deodara</w:t>
            </w:r>
          </w:p>
        </w:tc>
        <w:tc>
          <w:tcPr>
            <w:tcW w:w="992" w:type="dxa"/>
            <w:shd w:val="clear" w:color="auto" w:fill="FABD8C"/>
          </w:tcPr>
          <w:p w:rsidR="003D1D38" w:rsidRPr="001471A1" w:rsidRDefault="000E061A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992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5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D1D38" w:rsidRPr="001471A1" w:rsidTr="001F3CA5">
        <w:trPr>
          <w:trHeight w:val="326"/>
          <w:jc w:val="center"/>
        </w:trPr>
        <w:tc>
          <w:tcPr>
            <w:tcW w:w="2689" w:type="dxa"/>
          </w:tcPr>
          <w:p w:rsidR="003D1D38" w:rsidRPr="001471A1" w:rsidRDefault="003D1D38" w:rsidP="00E16266">
            <w:pPr>
              <w:tabs>
                <w:tab w:val="left" w:pos="993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Irga/Producent</w:t>
            </w:r>
          </w:p>
        </w:tc>
        <w:tc>
          <w:tcPr>
            <w:tcW w:w="992" w:type="dxa"/>
            <w:shd w:val="clear" w:color="auto" w:fill="BFD68F"/>
          </w:tcPr>
          <w:p w:rsidR="003D1D38" w:rsidRPr="001471A1" w:rsidRDefault="000E061A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275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D1D38" w:rsidRPr="001471A1" w:rsidTr="001F3CA5">
        <w:trPr>
          <w:trHeight w:val="326"/>
          <w:jc w:val="center"/>
        </w:trPr>
        <w:tc>
          <w:tcPr>
            <w:tcW w:w="2689" w:type="dxa"/>
          </w:tcPr>
          <w:p w:rsidR="003D1D38" w:rsidRPr="001471A1" w:rsidRDefault="003D1D38" w:rsidP="00E16266">
            <w:pPr>
              <w:tabs>
                <w:tab w:val="left" w:pos="993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Talent</w:t>
            </w:r>
          </w:p>
        </w:tc>
        <w:tc>
          <w:tcPr>
            <w:tcW w:w="992" w:type="dxa"/>
            <w:shd w:val="clear" w:color="auto" w:fill="BFD68F"/>
          </w:tcPr>
          <w:p w:rsidR="003D1D38" w:rsidRPr="001471A1" w:rsidRDefault="000E061A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EBF2DE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E061A" w:rsidRPr="001471A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EBF2DE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R*</w:t>
            </w:r>
          </w:p>
        </w:tc>
        <w:tc>
          <w:tcPr>
            <w:tcW w:w="1275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D1D38" w:rsidRPr="001471A1" w:rsidTr="001F3CA5">
        <w:trPr>
          <w:trHeight w:val="326"/>
          <w:jc w:val="center"/>
        </w:trPr>
        <w:tc>
          <w:tcPr>
            <w:tcW w:w="2689" w:type="dxa"/>
          </w:tcPr>
          <w:p w:rsidR="003D1D38" w:rsidRPr="001471A1" w:rsidRDefault="003D1D38" w:rsidP="00E16266">
            <w:pPr>
              <w:tabs>
                <w:tab w:val="left" w:pos="993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Saphir</w:t>
            </w:r>
          </w:p>
        </w:tc>
        <w:tc>
          <w:tcPr>
            <w:tcW w:w="992" w:type="dxa"/>
            <w:shd w:val="clear" w:color="auto" w:fill="BFD68F"/>
          </w:tcPr>
          <w:p w:rsidR="003D1D38" w:rsidRPr="001471A1" w:rsidRDefault="000E061A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FABD8C"/>
          </w:tcPr>
          <w:p w:rsidR="003D1D38" w:rsidRPr="001471A1" w:rsidRDefault="000E061A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BFD68F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5" w:type="dxa"/>
            <w:shd w:val="clear" w:color="auto" w:fill="BFD68F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8" w:type="dxa"/>
            <w:shd w:val="clear" w:color="auto" w:fill="FABD8C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3D1D38" w:rsidRPr="001471A1" w:rsidTr="001F3CA5">
        <w:trPr>
          <w:trHeight w:val="326"/>
          <w:jc w:val="center"/>
        </w:trPr>
        <w:tc>
          <w:tcPr>
            <w:tcW w:w="2689" w:type="dxa"/>
          </w:tcPr>
          <w:p w:rsidR="003D1D38" w:rsidRPr="001471A1" w:rsidRDefault="003D1D38" w:rsidP="00E16266">
            <w:pPr>
              <w:tabs>
                <w:tab w:val="left" w:pos="993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Ikar/Gawin/Karolin/Belita</w:t>
            </w:r>
          </w:p>
        </w:tc>
        <w:tc>
          <w:tcPr>
            <w:tcW w:w="992" w:type="dxa"/>
            <w:shd w:val="clear" w:color="auto" w:fill="BFD68F"/>
          </w:tcPr>
          <w:p w:rsidR="003D1D38" w:rsidRPr="001471A1" w:rsidRDefault="000E061A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992" w:type="dxa"/>
            <w:shd w:val="clear" w:color="auto" w:fill="BFD68F"/>
          </w:tcPr>
          <w:p w:rsidR="003D1D38" w:rsidRPr="001471A1" w:rsidRDefault="000E061A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8" w:type="dxa"/>
            <w:shd w:val="clear" w:color="auto" w:fill="BFD68F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275" w:type="dxa"/>
            <w:shd w:val="clear" w:color="auto" w:fill="BFD68F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418" w:type="dxa"/>
            <w:shd w:val="clear" w:color="auto" w:fill="BFD68F"/>
          </w:tcPr>
          <w:p w:rsidR="003D1D38" w:rsidRPr="001471A1" w:rsidRDefault="003D1D38" w:rsidP="001F3CA5">
            <w:pPr>
              <w:tabs>
                <w:tab w:val="left" w:pos="993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1A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</w:tbl>
    <w:p w:rsidR="008E6724" w:rsidRPr="001471A1" w:rsidRDefault="008E6724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‘S’: 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</w:t>
      </w:r>
    </w:p>
    <w:p w:rsidR="008E6724" w:rsidRPr="001471A1" w:rsidRDefault="008E6724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‘R’: Dayanıklı</w:t>
      </w:r>
    </w:p>
    <w:p w:rsidR="008E6724" w:rsidRDefault="008E6724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‘*’: çeşidin </w:t>
      </w:r>
      <w:r w:rsidR="00A030F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zararlı organizmaya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karşı zayıf duyarlılığını gösterir. ("siğil oluşumu 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>gözlenmeyen</w:t>
      </w:r>
      <w:r w:rsidR="00953CF7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nekrotik olmayan 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spor kesesi kümelerinin (sori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alanlarının</w:t>
      </w:r>
      <w:r w:rsidR="00953CF7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varlığı")</w:t>
      </w:r>
    </w:p>
    <w:p w:rsidR="001F3CA5" w:rsidRPr="001471A1" w:rsidRDefault="001F3CA5" w:rsidP="001471A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--------------------------------------------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Pratt MA. 1976. A wet-sieving and flotation technique for the detection of resting sporangia of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Synchytrium endobioticum </w:t>
      </w:r>
      <w:r w:rsidRPr="001F3CA5">
        <w:rPr>
          <w:rFonts w:ascii="Times New Roman" w:hAnsi="Times New Roman" w:cs="Times New Roman"/>
          <w:sz w:val="16"/>
          <w:szCs w:val="16"/>
        </w:rPr>
        <w:t xml:space="preserve">in soil.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Annals of Applied Biology </w:t>
      </w:r>
      <w:r w:rsidRPr="001F3CA5">
        <w:rPr>
          <w:rFonts w:ascii="Times New Roman" w:hAnsi="Times New Roman" w:cs="Times New Roman"/>
          <w:sz w:val="16"/>
          <w:szCs w:val="16"/>
        </w:rPr>
        <w:t>82: 21 – 29.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5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van Leeuwen GCM, Wander JGN, Lamers J, Meffert JP, van den Boogert PHJF, Baayen RP. 2005. Direct examination of soil for sporangia of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Synchytrium endobioticum </w:t>
      </w:r>
      <w:r w:rsidRPr="001F3CA5">
        <w:rPr>
          <w:rFonts w:ascii="Times New Roman" w:hAnsi="Times New Roman" w:cs="Times New Roman"/>
          <w:sz w:val="16"/>
          <w:szCs w:val="16"/>
        </w:rPr>
        <w:t xml:space="preserve">using chloroform, calcium chloride and zinc sulphate as extraction reagents.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EPPO Bulletin </w:t>
      </w:r>
      <w:r w:rsidRPr="001F3CA5">
        <w:rPr>
          <w:rFonts w:ascii="Times New Roman" w:hAnsi="Times New Roman" w:cs="Times New Roman"/>
          <w:sz w:val="16"/>
          <w:szCs w:val="16"/>
        </w:rPr>
        <w:t>35: 25 – 31.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Wander JGN, van den Berg W, van den Boogert PHJF, Lamers JG, van Leeuwen GCM, Hendrickx G, Bonants P. 2007. A novel technique using the Hendrickx centrifuge for extracting winter sporangia of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Synchytrium endobioticum </w:t>
      </w:r>
      <w:r w:rsidRPr="001F3CA5">
        <w:rPr>
          <w:rFonts w:ascii="Times New Roman" w:hAnsi="Times New Roman" w:cs="Times New Roman"/>
          <w:sz w:val="16"/>
          <w:szCs w:val="16"/>
        </w:rPr>
        <w:t xml:space="preserve">from soil.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European Journal of Plant Pathology </w:t>
      </w:r>
      <w:r w:rsidRPr="001F3CA5">
        <w:rPr>
          <w:rFonts w:ascii="Times New Roman" w:hAnsi="Times New Roman" w:cs="Times New Roman"/>
          <w:sz w:val="16"/>
          <w:szCs w:val="16"/>
        </w:rPr>
        <w:t>119: 165 – 174.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Lévesque CA, de Jong SN, Ward LJ &amp; de Boer SH (2001) Molecular phylogeny and detection of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>Synchytrium endobioticum</w:t>
      </w:r>
      <w:r w:rsidRPr="001F3CA5">
        <w:rPr>
          <w:rFonts w:ascii="Times New Roman" w:hAnsi="Times New Roman" w:cs="Times New Roman"/>
          <w:sz w:val="16"/>
          <w:szCs w:val="16"/>
        </w:rPr>
        <w:t xml:space="preserve">, the causal agent of potato wart.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Canadian Journal of Plant Pathology </w:t>
      </w:r>
      <w:r w:rsidRPr="001F3CA5">
        <w:rPr>
          <w:rFonts w:ascii="Times New Roman" w:hAnsi="Times New Roman" w:cs="Times New Roman"/>
          <w:sz w:val="16"/>
          <w:szCs w:val="16"/>
        </w:rPr>
        <w:t>23: 200–201.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van den Boogert PHJF, van Gent-Pelzer MPE, Bonants PJM, de Boer SH, Wander JGN, Lévesque CA, van Leeuwen GCM, Baayen RP. 2005. Development of PCR-based detection methods for the quarantine phytopathogen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>Synchytrium endobioticum</w:t>
      </w:r>
      <w:r w:rsidRPr="001F3CA5">
        <w:rPr>
          <w:rFonts w:ascii="Times New Roman" w:hAnsi="Times New Roman" w:cs="Times New Roman"/>
          <w:sz w:val="16"/>
          <w:szCs w:val="16"/>
        </w:rPr>
        <w:t xml:space="preserve">, causal agent of potato wart disease.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European Journal of Plant Pathology </w:t>
      </w:r>
      <w:r w:rsidRPr="001F3CA5">
        <w:rPr>
          <w:rFonts w:ascii="Times New Roman" w:hAnsi="Times New Roman" w:cs="Times New Roman"/>
          <w:sz w:val="16"/>
          <w:szCs w:val="16"/>
        </w:rPr>
        <w:t>113: 47 – 57.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van Gent-Pelzer MPE, Krijger M, Bonants PJM. 2010. Improved real-time PCR assay for the detection of the quarantine potato pathogen,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>Synchytrium endobioticum</w:t>
      </w:r>
      <w:r w:rsidRPr="001F3CA5">
        <w:rPr>
          <w:rFonts w:ascii="Times New Roman" w:hAnsi="Times New Roman" w:cs="Times New Roman"/>
          <w:sz w:val="16"/>
          <w:szCs w:val="16"/>
        </w:rPr>
        <w:t xml:space="preserve">, in zonal centrifuge extracts from soil and in plants.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European Journal of Plant Pathology </w:t>
      </w:r>
      <w:r w:rsidRPr="001F3CA5">
        <w:rPr>
          <w:rFonts w:ascii="Times New Roman" w:hAnsi="Times New Roman" w:cs="Times New Roman"/>
          <w:sz w:val="16"/>
          <w:szCs w:val="16"/>
        </w:rPr>
        <w:t>126: 129 – 133.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Smith DS, Rocheleau H, Chapados JT, Abbott C, Ribero S, Redhead SA, Lévesque CA, De Boer SH. 2014. Phylogeny of the genus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Synchytrium </w:t>
      </w:r>
      <w:r w:rsidRPr="001F3CA5">
        <w:rPr>
          <w:rFonts w:ascii="Times New Roman" w:hAnsi="Times New Roman" w:cs="Times New Roman"/>
          <w:sz w:val="16"/>
          <w:szCs w:val="16"/>
        </w:rPr>
        <w:t xml:space="preserve">and the development of TaqMan PCR assay for sensitive detection of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Synchytrium endobioticum </w:t>
      </w:r>
      <w:r w:rsidRPr="001F3CA5">
        <w:rPr>
          <w:rFonts w:ascii="Times New Roman" w:hAnsi="Times New Roman" w:cs="Times New Roman"/>
          <w:sz w:val="16"/>
          <w:szCs w:val="16"/>
        </w:rPr>
        <w:t xml:space="preserve">in soil.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Phytopathology </w:t>
      </w:r>
      <w:r w:rsidRPr="001F3CA5">
        <w:rPr>
          <w:rFonts w:ascii="Times New Roman" w:hAnsi="Times New Roman" w:cs="Times New Roman"/>
          <w:sz w:val="16"/>
          <w:szCs w:val="16"/>
        </w:rPr>
        <w:t>104: 422 – 432.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Przetakiewicz, J. 2015. The Viability of Winter Sporangia of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Synchytrium endobioticum </w:t>
      </w:r>
      <w:r w:rsidRPr="001F3CA5">
        <w:rPr>
          <w:rFonts w:ascii="Times New Roman" w:hAnsi="Times New Roman" w:cs="Times New Roman"/>
          <w:sz w:val="16"/>
          <w:szCs w:val="16"/>
        </w:rPr>
        <w:t>(Schilb.) Perc. From Poland. American Journal of Potato Research 92:704-708.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Spieckermann A, Kothoff P. 1924. Testing potatoes for wart resistance.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Deutsche Landwirtschaftliche Presse </w:t>
      </w:r>
      <w:r w:rsidRPr="001F3CA5">
        <w:rPr>
          <w:rFonts w:ascii="Times New Roman" w:hAnsi="Times New Roman" w:cs="Times New Roman"/>
          <w:sz w:val="16"/>
          <w:szCs w:val="16"/>
        </w:rPr>
        <w:t>51: 114 – 115.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lastRenderedPageBreak/>
        <w:t xml:space="preserve">Potoček J, Krajíčková K, Klabzubová S, Krejcar Z, Hnízdil M, Novák F, Perlová V. 1991. Identification of new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Synchytrium endobioticum </w:t>
      </w:r>
      <w:r w:rsidRPr="001F3CA5">
        <w:rPr>
          <w:rFonts w:ascii="Times New Roman" w:hAnsi="Times New Roman" w:cs="Times New Roman"/>
          <w:sz w:val="16"/>
          <w:szCs w:val="16"/>
        </w:rPr>
        <w:t xml:space="preserve">(Schilb.) Perc. pathotypes in Czech Republic.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Ochrana Rostlin </w:t>
      </w:r>
      <w:r w:rsidRPr="001F3CA5">
        <w:rPr>
          <w:rFonts w:ascii="Times New Roman" w:hAnsi="Times New Roman" w:cs="Times New Roman"/>
          <w:sz w:val="16"/>
          <w:szCs w:val="16"/>
        </w:rPr>
        <w:t>27: 191 – 205.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Glynne MD. 1925. Infection experiments with wart disease of potatoes.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>Synchytrium endobioticum</w:t>
      </w:r>
      <w:r w:rsidRPr="001F3CA5">
        <w:rPr>
          <w:rFonts w:ascii="Times New Roman" w:hAnsi="Times New Roman" w:cs="Times New Roman"/>
          <w:sz w:val="16"/>
          <w:szCs w:val="16"/>
        </w:rPr>
        <w:t xml:space="preserve">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Annals of Applied Biology </w:t>
      </w:r>
      <w:r w:rsidRPr="001F3CA5">
        <w:rPr>
          <w:rFonts w:ascii="Times New Roman" w:hAnsi="Times New Roman" w:cs="Times New Roman"/>
          <w:sz w:val="16"/>
          <w:szCs w:val="16"/>
        </w:rPr>
        <w:t>12: 34 – 60.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Lemmerzahl J. 1930. A new simplified method for inoculation of potato cultivars to test for wart resistance.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Züchter </w:t>
      </w:r>
      <w:r w:rsidRPr="001F3CA5">
        <w:rPr>
          <w:rFonts w:ascii="Times New Roman" w:hAnsi="Times New Roman" w:cs="Times New Roman"/>
          <w:sz w:val="16"/>
          <w:szCs w:val="16"/>
        </w:rPr>
        <w:t>2: 288 – 297.</w:t>
      </w:r>
    </w:p>
    <w:p w:rsidR="008E6724" w:rsidRPr="001F3CA5" w:rsidRDefault="008E6724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Noble M, Glynne MD. 1970. Wart disease of potatoes. </w:t>
      </w:r>
      <w:r w:rsidRPr="001F3CA5">
        <w:rPr>
          <w:rFonts w:ascii="Times New Roman" w:eastAsia="Calibri" w:hAnsi="Times New Roman" w:cs="Times New Roman"/>
          <w:i/>
          <w:sz w:val="16"/>
          <w:szCs w:val="16"/>
        </w:rPr>
        <w:t xml:space="preserve">FAO Plant Protection Bulletin </w:t>
      </w:r>
      <w:r w:rsidRPr="001F3CA5">
        <w:rPr>
          <w:rFonts w:ascii="Times New Roman" w:hAnsi="Times New Roman" w:cs="Times New Roman"/>
          <w:sz w:val="16"/>
          <w:szCs w:val="16"/>
        </w:rPr>
        <w:t>18: 125 – 135.</w:t>
      </w:r>
    </w:p>
    <w:p w:rsidR="009B3119" w:rsidRPr="001F3CA5" w:rsidRDefault="009B3119" w:rsidP="001471A1">
      <w:pPr>
        <w:numPr>
          <w:ilvl w:val="0"/>
          <w:numId w:val="4"/>
        </w:numPr>
        <w:tabs>
          <w:tab w:val="left" w:pos="993"/>
        </w:tabs>
        <w:spacing w:after="0" w:line="231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F3CA5">
        <w:rPr>
          <w:rFonts w:ascii="Times New Roman" w:hAnsi="Times New Roman" w:cs="Times New Roman"/>
          <w:sz w:val="16"/>
          <w:szCs w:val="16"/>
        </w:rPr>
        <w:t xml:space="preserve">Çakır E., Leeuwen, Van GCM, Kerstin, F, Meffert, JP, Janssen, WAP, Maden S., 2009. Identification of pathotypes of </w:t>
      </w:r>
      <w:r w:rsidRPr="001F3CA5">
        <w:rPr>
          <w:rFonts w:ascii="Times New Roman" w:hAnsi="Times New Roman" w:cs="Times New Roman"/>
          <w:i/>
          <w:sz w:val="16"/>
          <w:szCs w:val="16"/>
        </w:rPr>
        <w:t>Synchytrium endobioticum</w:t>
      </w:r>
      <w:r w:rsidRPr="001F3CA5">
        <w:rPr>
          <w:rFonts w:ascii="Times New Roman" w:hAnsi="Times New Roman" w:cs="Times New Roman"/>
          <w:sz w:val="16"/>
          <w:szCs w:val="16"/>
        </w:rPr>
        <w:t xml:space="preserve"> found in infested fields in Turkey. OEPP/EPPO Bulletin 39:175–178p.</w:t>
      </w:r>
    </w:p>
    <w:p w:rsidR="009B3119" w:rsidRPr="001471A1" w:rsidRDefault="009B3119" w:rsidP="001471A1">
      <w:pPr>
        <w:tabs>
          <w:tab w:val="left" w:pos="993"/>
        </w:tabs>
        <w:spacing w:after="0" w:line="23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A41C7D" w:rsidRPr="001471A1" w:rsidRDefault="00A41C7D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030571" w:rsidRPr="001471A1" w:rsidRDefault="00030571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4B3258" w:rsidRPr="001471A1" w:rsidRDefault="004B3258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sectPr w:rsidR="004B3258" w:rsidRPr="001471A1" w:rsidSect="00A41C7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F514F" w:rsidRPr="001471A1" w:rsidRDefault="00FF514F" w:rsidP="001471A1">
      <w:pPr>
        <w:shd w:val="clear" w:color="auto" w:fill="FFFFFF"/>
        <w:tabs>
          <w:tab w:val="left" w:pos="993"/>
          <w:tab w:val="left" w:pos="4074"/>
          <w:tab w:val="center" w:pos="4536"/>
        </w:tabs>
        <w:spacing w:after="0" w:line="312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</w:t>
      </w:r>
      <w:r w:rsidR="00B6762B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-2</w:t>
      </w:r>
    </w:p>
    <w:p w:rsidR="00FF514F" w:rsidRPr="001471A1" w:rsidRDefault="00A030FF" w:rsidP="00A030FF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SÜRVEY TABLOSU</w:t>
      </w:r>
    </w:p>
    <w:p w:rsidR="00FF514F" w:rsidRPr="001471A1" w:rsidRDefault="00FF514F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Raporlama yılından önceki yıla ait patates hasadından elde edilen </w:t>
      </w:r>
      <w:r w:rsidR="002D3B3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p</w:t>
      </w:r>
      <w:r w:rsidRPr="001471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atates siğil hastalığı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 sürveyi sonuçlarını sunmak için hazırlanacak tablo.</w:t>
      </w:r>
    </w:p>
    <w:p w:rsidR="00FF514F" w:rsidRDefault="002D3B35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FF514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 tablo </w:t>
      </w:r>
      <w:r w:rsidR="00FF514F" w:rsidRPr="001471A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yalnızca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bir </w:t>
      </w:r>
      <w:r w:rsidR="00B6762B" w:rsidRPr="001471A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ilde </w:t>
      </w:r>
      <w:r w:rsidR="00FF514F" w:rsidRPr="001471A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hasat edilen patatesler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de</w:t>
      </w:r>
      <w:r w:rsidR="00FF514F" w:rsidRPr="001471A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yapılan sürvey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in</w:t>
      </w:r>
      <w:r w:rsidR="00FF514F" w:rsidRPr="001471A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sonuçları için</w:t>
      </w:r>
      <w:r w:rsidR="00B765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lır</w:t>
      </w:r>
      <w:r w:rsidR="00E5321E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B765D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A87AD8" w:rsidRDefault="00A87AD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Style w:val="TableGrid"/>
        <w:tblW w:w="1431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7" w:type="dxa"/>
          <w:left w:w="90" w:type="dxa"/>
          <w:right w:w="74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992"/>
        <w:gridCol w:w="851"/>
        <w:gridCol w:w="992"/>
        <w:gridCol w:w="992"/>
        <w:gridCol w:w="1276"/>
        <w:gridCol w:w="709"/>
        <w:gridCol w:w="567"/>
        <w:gridCol w:w="992"/>
        <w:gridCol w:w="851"/>
        <w:gridCol w:w="708"/>
        <w:gridCol w:w="709"/>
        <w:gridCol w:w="567"/>
        <w:gridCol w:w="1134"/>
      </w:tblGrid>
      <w:tr w:rsidR="00B765DD" w:rsidRPr="009E3073" w:rsidTr="00E067EB">
        <w:trPr>
          <w:trHeight w:val="343"/>
          <w:jc w:val="center"/>
        </w:trPr>
        <w:tc>
          <w:tcPr>
            <w:tcW w:w="988" w:type="dxa"/>
            <w:vMerge w:val="restart"/>
            <w:vAlign w:val="center"/>
          </w:tcPr>
          <w:p w:rsidR="00B765DD" w:rsidRPr="009E3073" w:rsidRDefault="00B765DD" w:rsidP="00E067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İLLER</w:t>
            </w:r>
          </w:p>
        </w:tc>
        <w:tc>
          <w:tcPr>
            <w:tcW w:w="1984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Patatesin kategorisi</w:t>
            </w:r>
          </w:p>
        </w:tc>
        <w:tc>
          <w:tcPr>
            <w:tcW w:w="992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Toplam üretim alanı (ha)</w:t>
            </w:r>
          </w:p>
        </w:tc>
        <w:tc>
          <w:tcPr>
            <w:tcW w:w="851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Yumruların makroskobik (görsel) kontrolleri</w:t>
            </w: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Laboratuvar testleri</w:t>
            </w:r>
          </w:p>
        </w:tc>
        <w:tc>
          <w:tcPr>
            <w:tcW w:w="1134" w:type="dxa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Diğer bilgiler</w:t>
            </w:r>
          </w:p>
        </w:tc>
      </w:tr>
      <w:tr w:rsidR="00B765DD" w:rsidRPr="009E3073" w:rsidTr="00E067EB">
        <w:trPr>
          <w:trHeight w:val="343"/>
          <w:jc w:val="center"/>
        </w:trPr>
        <w:tc>
          <w:tcPr>
            <w:tcW w:w="988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Örnek sayısı</w:t>
            </w:r>
          </w:p>
        </w:tc>
        <w:tc>
          <w:tcPr>
            <w:tcW w:w="992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Lot numarası</w:t>
            </w:r>
          </w:p>
        </w:tc>
        <w:tc>
          <w:tcPr>
            <w:tcW w:w="992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ind w:right="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Örnek miktarı</w:t>
            </w:r>
          </w:p>
        </w:tc>
        <w:tc>
          <w:tcPr>
            <w:tcW w:w="1276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Örnekleme dönemi</w:t>
            </w:r>
          </w:p>
        </w:tc>
        <w:tc>
          <w:tcPr>
            <w:tcW w:w="1276" w:type="dxa"/>
            <w:gridSpan w:val="2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Şüpheli sayısı</w:t>
            </w:r>
          </w:p>
        </w:tc>
        <w:tc>
          <w:tcPr>
            <w:tcW w:w="992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ind w:right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Örnek sayısı</w:t>
            </w:r>
          </w:p>
        </w:tc>
        <w:tc>
          <w:tcPr>
            <w:tcW w:w="851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Örnek miktarı</w:t>
            </w:r>
          </w:p>
        </w:tc>
        <w:tc>
          <w:tcPr>
            <w:tcW w:w="708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Testin türü</w:t>
            </w:r>
          </w:p>
        </w:tc>
        <w:tc>
          <w:tcPr>
            <w:tcW w:w="1276" w:type="dxa"/>
            <w:gridSpan w:val="2"/>
            <w:vAlign w:val="center"/>
          </w:tcPr>
          <w:p w:rsidR="00B765DD" w:rsidRPr="009E3073" w:rsidRDefault="00B765DD" w:rsidP="00E067EB">
            <w:pPr>
              <w:spacing w:line="259" w:lineRule="auto"/>
              <w:ind w:right="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Pozitif sayısı</w:t>
            </w:r>
          </w:p>
        </w:tc>
        <w:tc>
          <w:tcPr>
            <w:tcW w:w="1134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DD" w:rsidRPr="009E3073" w:rsidTr="00E067EB">
        <w:trPr>
          <w:trHeight w:val="576"/>
          <w:jc w:val="center"/>
        </w:trPr>
        <w:tc>
          <w:tcPr>
            <w:tcW w:w="988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Örnek</w:t>
            </w:r>
          </w:p>
        </w:tc>
        <w:tc>
          <w:tcPr>
            <w:tcW w:w="567" w:type="dxa"/>
            <w:vAlign w:val="center"/>
          </w:tcPr>
          <w:p w:rsidR="00B765DD" w:rsidRPr="009E3073" w:rsidRDefault="00B765DD" w:rsidP="00E067EB">
            <w:pPr>
              <w:spacing w:line="259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</w:p>
        </w:tc>
        <w:tc>
          <w:tcPr>
            <w:tcW w:w="992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Örnek</w:t>
            </w:r>
          </w:p>
        </w:tc>
        <w:tc>
          <w:tcPr>
            <w:tcW w:w="567" w:type="dxa"/>
            <w:vAlign w:val="center"/>
          </w:tcPr>
          <w:p w:rsidR="00B765DD" w:rsidRPr="009E3073" w:rsidRDefault="00B765DD" w:rsidP="00E067EB">
            <w:pPr>
              <w:spacing w:line="259" w:lineRule="auto"/>
              <w:ind w:righ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Lot</w:t>
            </w:r>
          </w:p>
        </w:tc>
        <w:tc>
          <w:tcPr>
            <w:tcW w:w="1134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DD" w:rsidRPr="009E3073" w:rsidTr="00E067EB">
        <w:trPr>
          <w:trHeight w:val="572"/>
          <w:jc w:val="center"/>
        </w:trPr>
        <w:tc>
          <w:tcPr>
            <w:tcW w:w="988" w:type="dxa"/>
            <w:vMerge w:val="restart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Dikim amaçlı üretilen patatesler (tohumluk)</w:t>
            </w: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DD" w:rsidRPr="009E3073" w:rsidTr="00E067EB">
        <w:trPr>
          <w:trHeight w:val="359"/>
          <w:jc w:val="center"/>
        </w:trPr>
        <w:tc>
          <w:tcPr>
            <w:tcW w:w="988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Sofralık, sanayilik veya nişastalık</w:t>
            </w: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5DD" w:rsidRPr="009E3073" w:rsidTr="00E067EB">
        <w:trPr>
          <w:trHeight w:val="359"/>
          <w:jc w:val="center"/>
        </w:trPr>
        <w:tc>
          <w:tcPr>
            <w:tcW w:w="988" w:type="dxa"/>
            <w:vMerge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765DD" w:rsidRPr="009E3073" w:rsidRDefault="00B765DD" w:rsidP="00E067EB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Diğer (</w:t>
            </w:r>
            <w:r w:rsidRPr="009E307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E3073">
              <w:rPr>
                <w:rFonts w:ascii="Times New Roman" w:hAnsi="Times New Roman" w:cs="Times New Roman"/>
                <w:sz w:val="20"/>
                <w:szCs w:val="20"/>
              </w:rPr>
              <w:t>) (belirtiniz)</w:t>
            </w: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65DD" w:rsidRPr="009E3073" w:rsidRDefault="00B765DD" w:rsidP="00E067EB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65DD" w:rsidRPr="001471A1" w:rsidRDefault="00B765DD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3258" w:rsidRPr="001471A1" w:rsidRDefault="00E5321E" w:rsidP="001471A1">
      <w:pPr>
        <w:pStyle w:val="ListeParagraf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4B3258" w:rsidRPr="001471A1" w:rsidSect="000305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Salgın</w:t>
      </w:r>
      <w:r w:rsidR="00AD3C1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olan</w:t>
      </w:r>
      <w:r w:rsidR="00AD3C1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676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iller </w:t>
      </w:r>
      <w:r w:rsidR="00E62DE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için, örneğin</w:t>
      </w:r>
      <w:r w:rsidR="00AD3C1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salgınları</w:t>
      </w:r>
      <w:r w:rsidR="00E62DE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araştırmak veya takip etmek için kullanılan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örneklerin miktarlarını,</w:t>
      </w:r>
      <w:r w:rsidR="00E62DE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genel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sürveylerden</w:t>
      </w:r>
      <w:r w:rsidR="00E62DE3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ayrı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değerlendirmek gerekir.</w:t>
      </w:r>
    </w:p>
    <w:p w:rsidR="000B224E" w:rsidRPr="001471A1" w:rsidRDefault="000B224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</w:t>
      </w:r>
      <w:r w:rsidR="00B6762B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-3</w:t>
      </w:r>
    </w:p>
    <w:p w:rsidR="000B224E" w:rsidRPr="001471A1" w:rsidRDefault="00EE29EE" w:rsidP="00EE29EE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PATATES ÇEŞİDİNİN </w:t>
      </w:r>
      <w:r w:rsidR="00CC125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DAYANIKLILIĞININ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DEĞERLENDİRİLMESİ İÇİN PROTOKOL</w:t>
      </w:r>
    </w:p>
    <w:p w:rsidR="000B224E" w:rsidRPr="001471A1" w:rsidRDefault="000B224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çeşitlerinin </w:t>
      </w:r>
      <w:r w:rsidR="00FE40AE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="00FE40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değerlendirilmesine ilişkin protokol aşağıdaki adımları içerir.</w:t>
      </w:r>
    </w:p>
    <w:p w:rsidR="00B6762B" w:rsidRPr="001471A1" w:rsidRDefault="00AD5AB5" w:rsidP="001471A1">
      <w:pPr>
        <w:pStyle w:val="ListeParagr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E40A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Konukçu </w:t>
      </w:r>
      <w:r w:rsidR="00B676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bitkinin çeşidi başına en az 40 yumru kök veya sürgün çıkış noktası test edilir. Tekerrür için yumrular 2 grup şeklinde çalışılır.</w:t>
      </w:r>
    </w:p>
    <w:p w:rsidR="00B6762B" w:rsidRPr="001471A1" w:rsidRDefault="00AD5AB5" w:rsidP="001471A1">
      <w:pPr>
        <w:pStyle w:val="ListeParagr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676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Test genellikle 2 yıl sürer. Ancak bir çeşidin zararlının bir patotipine aşırı derecede duyarlı olması durumunda, test süresi 1 yıla indirilebilir.</w:t>
      </w:r>
    </w:p>
    <w:p w:rsidR="00B6762B" w:rsidRPr="001471A1" w:rsidRDefault="00AD5AB5" w:rsidP="001471A1">
      <w:pPr>
        <w:pStyle w:val="ListeParagr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676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Bir test sezonu başlamadan önce, inokulum, E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K-1</w:t>
      </w:r>
      <w:r w:rsidR="00B676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'de açıklanan yöntemler kullanılarak saflık açısından test edilir.</w:t>
      </w:r>
    </w:p>
    <w:p w:rsidR="00B6762B" w:rsidRPr="001471A1" w:rsidRDefault="00AD5AB5" w:rsidP="001471A1">
      <w:pPr>
        <w:pStyle w:val="ListeParagr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676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Test edilecek </w:t>
      </w:r>
      <w:r w:rsidR="00A87AD8" w:rsidRPr="00A87AD8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organizmanın</w:t>
      </w:r>
      <w:r w:rsidR="00B6762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patotipine son derece duyarlı bir patates çeşidi, bir pozitif kontrol olarak her zaman teste dahil edilir.</w:t>
      </w:r>
    </w:p>
    <w:p w:rsidR="004674AE" w:rsidRPr="001471A1" w:rsidRDefault="00AD5AB5" w:rsidP="001471A1">
      <w:pPr>
        <w:pStyle w:val="ListeParagraf"/>
        <w:numPr>
          <w:ilvl w:val="0"/>
          <w:numId w:val="12"/>
        </w:numPr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test yöntemlerinden biri kullanılır:</w:t>
      </w:r>
    </w:p>
    <w:p w:rsidR="004674AE" w:rsidRPr="001471A1" w:rsidRDefault="004674AE" w:rsidP="001471A1">
      <w:pPr>
        <w:pStyle w:val="ListeParagra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Glynne-Lemmerzahl yöntemi (Glynne 1925, Lemmer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zahl 1930, Noble &amp; Glynne 1970),</w:t>
      </w:r>
    </w:p>
    <w:p w:rsidR="004674AE" w:rsidRPr="001471A1" w:rsidRDefault="004674AE" w:rsidP="001471A1">
      <w:pPr>
        <w:pStyle w:val="ListeParagraf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Spieckermann yöntemi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(Spieckermann &amp; Kothoff 1924),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</w:t>
      </w:r>
    </w:p>
    <w:p w:rsidR="004674AE" w:rsidRPr="001471A1" w:rsidRDefault="004674AE" w:rsidP="001471A1">
      <w:pPr>
        <w:pStyle w:val="ListeParagraf"/>
        <w:numPr>
          <w:ilvl w:val="0"/>
          <w:numId w:val="13"/>
        </w:numPr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Aşağıdaki adımlardan oluşan SASA (Science and Advice for Scottish Agriculture) yöntemi:</w:t>
      </w:r>
    </w:p>
    <w:p w:rsidR="004674AE" w:rsidRPr="001471A1" w:rsidRDefault="004674AE" w:rsidP="001471A1">
      <w:pPr>
        <w:pStyle w:val="ListeParagraf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Yumru hazırlığı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: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Yumrular, amaçlanan inokulasyondan yaklaşık 10 gün önce soğuk depodan çıkarıl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 nazikçe yıkan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 kurutul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ur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filizlenmeyi sağlamak için karanlıkta oda sıcaklığında saklanır.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Pozitif kontrol olarak her inokulasyonda oldukça duyarlı bir çeşit ('Moren' veya karşılaştırılabilir duyarlılığa sahip bir çeşit) kullanılır</w:t>
      </w:r>
      <w:r w:rsidR="00A0700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674AE" w:rsidRPr="001471A1" w:rsidRDefault="004674AE" w:rsidP="001471A1">
      <w:pPr>
        <w:pStyle w:val="ListeParagraf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Dinlenme sporlarının çimlenmesi: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Dinlenme sporlarının çimlenmesini sağlayacak koşullar inokula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yondan 21 gün önce 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oluşturulur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E70AA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Yaklaşık 10 mg ekstrakte edilmiş spor, küçük plastik petri kaplarında 10 ml steril damıtılmış suyun yüzeyine bırakılır ve çimlenene kadar karanlıkta 20 °C'de inkübe edilir.</w:t>
      </w:r>
      <w:r w:rsidR="00A0700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Her petri kabının içeriği, inokulasyon için 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>ilave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10 ml steril damıtılmış su ile seyreltilir</w:t>
      </w:r>
      <w:r w:rsidR="00A0700F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E7BC8" w:rsidRPr="001471A1" w:rsidRDefault="008E7BC8" w:rsidP="001471A1">
      <w:pPr>
        <w:pStyle w:val="ListeParagraf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Sürgünlerin inokulasyonu ve inkubasyonu: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Sürgünler 1 mm uzunluğa ulaştığında eritilmiş vazelin ile 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halka şeklinde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çevrelenir. Vazelin halkası, spor süspansiyonunu sızıntı yapmadan tutacak şekilde kırılmamış ve süspansiyonun sürgünü kaplayacağı kadar yüksek olmalıdır.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Her yumru üzerinde tek bir sürgün veya tek bir sürgün kümesi halka şeklinde çevrilir.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Yumrular, halkalı sürgünleri yukarı bakacak şekilde nemli </w:t>
      </w:r>
      <w:proofErr w:type="gramStart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kağıt</w:t>
      </w:r>
      <w:proofErr w:type="gramEnd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 kaplanmış plastik kutulara yerleştirilir.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Vazelin halkaları, sürgün tamamen batana kadar bir pipet veya bir sıkma şişesi kullanılarak spor süspansiyonu ile doldurul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u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Plastik kutular kapaklarla kapatıl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karanlıkta 10°C'de 4 gün inkübe edil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 ardından vazelin halkaları çıkarıl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kutular periyodik 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sisleme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nemle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>ndir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altında 15–18 °C'de bir seraya açık olarak yerleştirilir (günde 3 kez 30 dakika).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Örneğin, sürgünün çürümesi veya gelişmemesi nedeniyle enfeksiyonun başarısız olduğu durumlarda, yumru başka bir sürgün kullanılarak yeniden test edilebilir;</w:t>
      </w:r>
    </w:p>
    <w:p w:rsidR="008E7BC8" w:rsidRPr="001471A1" w:rsidRDefault="008E7BC8" w:rsidP="001471A1">
      <w:pPr>
        <w:pStyle w:val="ListeParagraf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Değerlendirme: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Sürgünler, inokulasyondan 28 gün sonra, 10-15x büyütmeli bir stereo mikroskop ve bir ışık mikroskobu kullanılarak enfeksiyon açısından incelenir.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Yumruların en az %80'inde 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pozitif kontrolde tabloda bildirilen 4 veya 5 puan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>lık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reaksiyonları gözlemlen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r. En az bir yumruda da 5 puan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>lık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reaksiyon gö</w:t>
      </w:r>
      <w:r w:rsidR="002D3B35">
        <w:rPr>
          <w:rFonts w:ascii="Times New Roman" w:eastAsia="Times New Roman" w:hAnsi="Times New Roman" w:cs="Times New Roman"/>
          <w:sz w:val="24"/>
          <w:szCs w:val="24"/>
          <w:lang w:eastAsia="tr-TR"/>
        </w:rPr>
        <w:t>zlen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melidir.</w:t>
      </w:r>
    </w:p>
    <w:p w:rsidR="00B6762B" w:rsidRPr="001471A1" w:rsidRDefault="00AD5AB5" w:rsidP="001471A1">
      <w:pPr>
        <w:pStyle w:val="ListeParagr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Tüm yumrular değerlendiril</w:t>
      </w:r>
      <w:r w:rsidR="00E8526B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ir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tabloda belirtildiği gibi 1'den 5'e kadar bir </w:t>
      </w:r>
      <w:r w:rsidR="00037BA8">
        <w:rPr>
          <w:rFonts w:ascii="Times New Roman" w:eastAsia="Times New Roman" w:hAnsi="Times New Roman" w:cs="Times New Roman"/>
          <w:sz w:val="24"/>
          <w:szCs w:val="24"/>
          <w:lang w:eastAsia="tr-TR"/>
        </w:rPr>
        <w:t>dayanıklılık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sıralaması puanı verilir.</w:t>
      </w:r>
    </w:p>
    <w:p w:rsidR="00B6762B" w:rsidRPr="001471A1" w:rsidRDefault="00AD5AB5" w:rsidP="001471A1">
      <w:pPr>
        <w:pStyle w:val="ListeParagraf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Test edilen her patates çeşidi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yumru ve göz alanı değerlendirme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sine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bir dayanıklılık grubu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altında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 dayanıklı, dayanıklı, az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</w:t>
      </w:r>
      <w:r w:rsidR="008E326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veya çok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</w:t>
      </w:r>
      <w:r w:rsidR="008E326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674A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olmak üzere sınıflandırılır.</w:t>
      </w:r>
    </w:p>
    <w:p w:rsidR="004674AE" w:rsidRPr="001471A1" w:rsidRDefault="00E8526B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üm tekerrürlerdeki tüm yumrular 1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puana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sahipse, çeşit '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çok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dayanıklı' olarak değerlendirilir</w:t>
      </w:r>
    </w:p>
    <w:p w:rsidR="004674AE" w:rsidRPr="001471A1" w:rsidRDefault="00E8526B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üm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tekerrürlerdeki</w:t>
      </w:r>
      <w:r w:rsidR="008E326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yumrular 1 ile 3 arasında bir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puana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sahipse, çeşit 'dayanıklı' olarak değerlendirilir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4674AE" w:rsidRPr="001471A1" w:rsidRDefault="00E8526B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ir veya daha fazla yumru 4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puana sahipse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çeşit ‘az duyarlı’ olarak (sadece bir yumru 4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puana sahipse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çeşit lotundaki saflığı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bozan katışkının</w:t>
      </w:r>
      <w:r w:rsidR="008E326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belirlenmesi için test tekrarlanabilir)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592CB1" w:rsidRPr="001471A1" w:rsidRDefault="00E8526B" w:rsidP="001471A1">
      <w:pPr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Bir tekrarda en az bir yumru 5 puan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a sahipse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çeşit ‘çok </w:t>
      </w:r>
      <w:r w:rsidR="008E3266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</w:t>
      </w:r>
      <w:r w:rsidR="008E326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32F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değerlendirilir.</w:t>
      </w:r>
      <w:r w:rsidR="00592CB1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592CB1" w:rsidRPr="001471A1" w:rsidRDefault="00592CB1" w:rsidP="00A87AD8">
      <w:pPr>
        <w:pStyle w:val="ListeParagraf"/>
        <w:tabs>
          <w:tab w:val="left" w:pos="993"/>
        </w:tabs>
        <w:spacing w:after="0" w:line="312" w:lineRule="atLeast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Patates test popülasyonları için standart </w:t>
      </w:r>
      <w:r w:rsidR="008E326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puanlama</w:t>
      </w:r>
      <w:r w:rsidR="008E3266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tablosu</w:t>
      </w:r>
    </w:p>
    <w:tbl>
      <w:tblPr>
        <w:tblW w:w="528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1627"/>
        <w:gridCol w:w="1405"/>
        <w:gridCol w:w="5424"/>
      </w:tblGrid>
      <w:tr w:rsidR="00592CB1" w:rsidRPr="00A87AD8" w:rsidTr="00EE29E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B33870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Standart</w:t>
            </w:r>
            <w:r w:rsidR="00A8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B33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A87AD8" w:rsidP="00B33870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Dayanı</w:t>
            </w:r>
            <w:r w:rsidR="00B338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lılık </w:t>
            </w:r>
            <w:r w:rsidR="00592CB1" w:rsidRPr="00A8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grubu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Dayanıklılık sınıfı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Tanımı</w:t>
            </w:r>
          </w:p>
        </w:tc>
      </w:tr>
      <w:tr w:rsidR="00592CB1" w:rsidRPr="00A87AD8" w:rsidTr="00EE29EE">
        <w:trPr>
          <w:trHeight w:val="4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Çok dayanıklı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2C00A5">
            <w:pPr>
              <w:tabs>
                <w:tab w:val="left" w:pos="993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Erken savunma nekrozu; görünür </w:t>
            </w:r>
            <w:r w:rsidR="00B33870">
              <w:rPr>
                <w:rFonts w:ascii="Times New Roman" w:hAnsi="Times New Roman" w:cs="Times New Roman"/>
                <w:sz w:val="20"/>
                <w:szCs w:val="20"/>
              </w:rPr>
              <w:t>spor kesesi kümesi (soruş)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oluşumu yok.</w:t>
            </w:r>
          </w:p>
        </w:tc>
      </w:tr>
      <w:tr w:rsidR="00592CB1" w:rsidRPr="00A87AD8" w:rsidTr="00EE29E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Dayanıklı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2C00A5">
            <w:pPr>
              <w:tabs>
                <w:tab w:val="left" w:pos="993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hAnsi="Times New Roman" w:cs="Times New Roman"/>
                <w:sz w:val="20"/>
                <w:szCs w:val="20"/>
              </w:rPr>
              <w:t xml:space="preserve">Geç savunma nekrozu; </w:t>
            </w:r>
            <w:r w:rsidR="00B33870">
              <w:rPr>
                <w:rFonts w:ascii="Times New Roman" w:hAnsi="Times New Roman" w:cs="Times New Roman"/>
                <w:sz w:val="20"/>
                <w:szCs w:val="20"/>
              </w:rPr>
              <w:t>spor kesesi kümesi (soruş)</w:t>
            </w:r>
            <w:r w:rsidRPr="00A87AD8">
              <w:rPr>
                <w:rFonts w:ascii="Times New Roman" w:hAnsi="Times New Roman" w:cs="Times New Roman"/>
                <w:sz w:val="20"/>
                <w:szCs w:val="20"/>
              </w:rPr>
              <w:t xml:space="preserve"> oluşumu kısmen görünür, olgunlaşmamış veya olgunlaşmadan önce nekrotik </w:t>
            </w:r>
            <w:r w:rsidR="00B33870">
              <w:rPr>
                <w:rFonts w:ascii="Times New Roman" w:hAnsi="Times New Roman" w:cs="Times New Roman"/>
                <w:sz w:val="20"/>
                <w:szCs w:val="20"/>
              </w:rPr>
              <w:t>spor kesesi kümeleri.</w:t>
            </w:r>
          </w:p>
        </w:tc>
      </w:tr>
      <w:tr w:rsidR="00592CB1" w:rsidRPr="00A87AD8" w:rsidTr="00EE29E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B33870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Az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592CB1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dayanıklı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2740" w:rsidRPr="00A87AD8" w:rsidRDefault="00592CB1" w:rsidP="002C00A5">
            <w:pPr>
              <w:tabs>
                <w:tab w:val="left" w:pos="993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Çok geç </w:t>
            </w:r>
            <w:r w:rsidR="00B338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savunma</w:t>
            </w:r>
            <w:r w:rsidR="00B33870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nekrozu; tek olgun </w:t>
            </w:r>
            <w:r w:rsidR="00B33870">
              <w:rPr>
                <w:rFonts w:ascii="Times New Roman" w:hAnsi="Times New Roman" w:cs="Times New Roman"/>
                <w:sz w:val="20"/>
                <w:szCs w:val="20"/>
              </w:rPr>
              <w:t>spor kesesi kümesi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veya </w:t>
            </w:r>
            <w:r w:rsidR="00B33870">
              <w:rPr>
                <w:rFonts w:ascii="Times New Roman" w:hAnsi="Times New Roman" w:cs="Times New Roman"/>
                <w:sz w:val="20"/>
                <w:szCs w:val="20"/>
              </w:rPr>
              <w:t>spor kesesi kümeleri</w:t>
            </w:r>
            <w:r w:rsidR="00B338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içeren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alanlar gelişmiş, ancak tamamen nekrozla çevrili;</w:t>
            </w:r>
            <w:r w:rsid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aynı yumrunun diğer alanlarında açık nekrozlar, en fazla</w:t>
            </w:r>
            <w:r w:rsidR="00B338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5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nekrotik olmayan yazlık </w:t>
            </w:r>
            <w:r w:rsidR="00B33870">
              <w:rPr>
                <w:rFonts w:ascii="Times New Roman" w:hAnsi="Times New Roman" w:cs="Times New Roman"/>
                <w:sz w:val="20"/>
                <w:szCs w:val="20"/>
              </w:rPr>
              <w:t xml:space="preserve">spor kesesi </w:t>
            </w:r>
            <w:proofErr w:type="gramStart"/>
            <w:r w:rsidR="00B33870">
              <w:rPr>
                <w:rFonts w:ascii="Times New Roman" w:hAnsi="Times New Roman" w:cs="Times New Roman"/>
                <w:sz w:val="20"/>
                <w:szCs w:val="20"/>
              </w:rPr>
              <w:t xml:space="preserve">kümesi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proofErr w:type="gramEnd"/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Siğil veya dinlenme sporları oluşumu yok.</w:t>
            </w:r>
          </w:p>
          <w:p w:rsidR="00592CB1" w:rsidRPr="00A87AD8" w:rsidRDefault="00592CB1" w:rsidP="00416457">
            <w:pPr>
              <w:tabs>
                <w:tab w:val="left" w:pos="993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Grup 3 ve 4 arasında karar vermek </w:t>
            </w:r>
            <w:r w:rsidR="001B2740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için enfekte dokudan </w:t>
            </w:r>
            <w:r w:rsidR="00B338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mikroskobik inceleme için </w:t>
            </w:r>
            <w:r w:rsidR="001B2740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ince </w:t>
            </w:r>
            <w:r w:rsidR="00B3387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preparatlar</w:t>
            </w:r>
            <w:r w:rsidR="00B33870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="001B2740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hazırlamak gerekebilir: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dinlenme sporları yoksa </w:t>
            </w:r>
            <w:r w:rsidR="00416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puan</w:t>
            </w:r>
            <w:r w:rsidR="00416457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ol</w:t>
            </w:r>
            <w:r w:rsidR="00BF0A30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r.</w:t>
            </w:r>
          </w:p>
        </w:tc>
      </w:tr>
      <w:tr w:rsidR="00592CB1" w:rsidRPr="00A87AD8" w:rsidTr="00EE29E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S1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416457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Az </w:t>
            </w:r>
            <w:r w:rsidR="00416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duyarlı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B2740" w:rsidRPr="00A87AD8" w:rsidRDefault="00592CB1" w:rsidP="002C00A5">
            <w:pPr>
              <w:tabs>
                <w:tab w:val="left" w:pos="993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Dağınık enfeksiyonlar;  nekrotik olmayan, </w:t>
            </w:r>
            <w:r w:rsidR="00416457" w:rsidRPr="00416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kesesi kümesi</w:t>
            </w:r>
            <w:r w:rsidR="004164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veya kümeleri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sayıca az; sürgündeki diğer </w:t>
            </w:r>
            <w:proofErr w:type="gramStart"/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enfeksiyon</w:t>
            </w:r>
            <w:proofErr w:type="gramEnd"/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bölgelerinde geç nekroz mevcut olabilir; sürgün hafifçe deforme olabilir (kalınlaşmış). Dinlenme (kış) </w:t>
            </w:r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keseleri (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sporangi</w:t>
            </w:r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yum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ları</w:t>
            </w:r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mevcuttur.</w:t>
            </w:r>
          </w:p>
          <w:p w:rsidR="00592CB1" w:rsidRPr="00A87AD8" w:rsidRDefault="00592CB1" w:rsidP="007420CE">
            <w:pPr>
              <w:tabs>
                <w:tab w:val="left" w:pos="993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Grup 3 ve 4 arasında karar vermek için enfekte dokudan </w:t>
            </w:r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mikroskobik inceleme için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ince </w:t>
            </w:r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preparatlar</w:t>
            </w:r>
            <w:r w:rsidR="007420CE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hazırlamak gerekebilir: dinlenme sporları varsa </w:t>
            </w:r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puan</w:t>
            </w:r>
            <w:r w:rsidR="007420CE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 ol</w:t>
            </w:r>
            <w:r w:rsidR="00BF0A30"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ur.</w:t>
            </w:r>
          </w:p>
        </w:tc>
      </w:tr>
      <w:tr w:rsidR="00592CB1" w:rsidRPr="00A87AD8" w:rsidTr="00EE29E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A87AD8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S2</w:t>
            </w:r>
          </w:p>
        </w:tc>
        <w:tc>
          <w:tcPr>
            <w:tcW w:w="7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7420CE">
            <w:pPr>
              <w:tabs>
                <w:tab w:val="left" w:pos="993"/>
              </w:tabs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Çok </w:t>
            </w:r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duyarlı</w:t>
            </w:r>
          </w:p>
        </w:tc>
        <w:tc>
          <w:tcPr>
            <w:tcW w:w="28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92CB1" w:rsidRPr="00A87AD8" w:rsidRDefault="00592CB1" w:rsidP="007420CE">
            <w:pPr>
              <w:tabs>
                <w:tab w:val="left" w:pos="993"/>
              </w:tabs>
              <w:spacing w:after="0" w:line="312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Yoğun enfeksiyon alanları, çok sayıda nekrotik olmayan</w:t>
            </w:r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olgun spor kesesi </w:t>
            </w:r>
            <w:proofErr w:type="gramStart"/>
            <w:r w:rsidR="007420C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kümeleri </w:t>
            </w:r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yoğun</w:t>
            </w:r>
            <w:proofErr w:type="gramEnd"/>
            <w:r w:rsidRPr="00A87AD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nekrotik olmayan enfeksiyon bölgeleri olan alanlar, baskın siğil oluşumu.</w:t>
            </w:r>
          </w:p>
        </w:tc>
      </w:tr>
    </w:tbl>
    <w:p w:rsidR="000B224E" w:rsidRPr="001471A1" w:rsidRDefault="000B224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9165A" w:rsidRDefault="0039165A" w:rsidP="001471A1">
      <w:pPr>
        <w:shd w:val="clear" w:color="auto" w:fill="FFFFFF"/>
        <w:tabs>
          <w:tab w:val="left" w:pos="993"/>
          <w:tab w:val="left" w:pos="3950"/>
          <w:tab w:val="center" w:pos="4535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</w:p>
    <w:p w:rsidR="002C00A5" w:rsidRDefault="002C00A5" w:rsidP="001471A1">
      <w:pPr>
        <w:shd w:val="clear" w:color="auto" w:fill="FFFFFF"/>
        <w:tabs>
          <w:tab w:val="left" w:pos="993"/>
          <w:tab w:val="left" w:pos="3950"/>
          <w:tab w:val="center" w:pos="4535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C00A5" w:rsidRDefault="002C00A5" w:rsidP="001471A1">
      <w:pPr>
        <w:shd w:val="clear" w:color="auto" w:fill="FFFFFF"/>
        <w:tabs>
          <w:tab w:val="left" w:pos="993"/>
          <w:tab w:val="left" w:pos="3950"/>
          <w:tab w:val="center" w:pos="4535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2C00A5" w:rsidRDefault="002C00A5" w:rsidP="001471A1">
      <w:pPr>
        <w:shd w:val="clear" w:color="auto" w:fill="FFFFFF"/>
        <w:tabs>
          <w:tab w:val="left" w:pos="993"/>
          <w:tab w:val="left" w:pos="3950"/>
          <w:tab w:val="center" w:pos="4535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E7BC8" w:rsidRPr="001471A1" w:rsidRDefault="000B224E" w:rsidP="001471A1">
      <w:pPr>
        <w:shd w:val="clear" w:color="auto" w:fill="FFFFFF"/>
        <w:tabs>
          <w:tab w:val="left" w:pos="993"/>
          <w:tab w:val="left" w:pos="3950"/>
          <w:tab w:val="center" w:pos="4535"/>
        </w:tabs>
        <w:spacing w:after="0" w:line="312" w:lineRule="atLeast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</w:t>
      </w:r>
      <w:r w:rsidR="008E7BC8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-4</w:t>
      </w:r>
    </w:p>
    <w:p w:rsidR="000B224E" w:rsidRPr="001471A1" w:rsidRDefault="00EE29EE" w:rsidP="00EE29EE">
      <w:pPr>
        <w:shd w:val="clear" w:color="auto" w:fill="FFFFFF"/>
        <w:tabs>
          <w:tab w:val="left" w:pos="993"/>
          <w:tab w:val="left" w:pos="3950"/>
          <w:tab w:val="center" w:pos="4535"/>
        </w:tabs>
        <w:spacing w:after="0" w:line="312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TEDBİRLERİN İPTALİ İÇİN KOŞULLAR</w:t>
      </w:r>
    </w:p>
    <w:p w:rsidR="000B224E" w:rsidRPr="001471A1" w:rsidRDefault="00AD5AB5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Tedbirlerin iptali için koşullar</w:t>
      </w:r>
    </w:p>
    <w:p w:rsidR="008E7BC8" w:rsidRPr="001471A1" w:rsidRDefault="00B43AF8" w:rsidP="00147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8E7BC8" w:rsidRPr="001471A1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 xml:space="preserve"> </w:t>
      </w:r>
      <w:r w:rsidR="002C00A5"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  <w:t>Z</w:t>
      </w:r>
      <w:r w:rsidR="002C00A5" w:rsidRPr="00A87AD8">
        <w:rPr>
          <w:rFonts w:ascii="Times New Roman" w:eastAsia="Times New Roman" w:hAnsi="Times New Roman" w:cs="Times New Roman"/>
          <w:sz w:val="24"/>
          <w:szCs w:val="24"/>
          <w:lang w:eastAsia="tr-TR"/>
        </w:rPr>
        <w:t>ararlı organizmanın</w:t>
      </w:r>
      <w:r w:rsidR="002C00A5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 tespitinden itibaren en az 50 yıl sonra, bulaşık </w:t>
      </w:r>
      <w:r w:rsidR="008B354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alanda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tüm bu süre boyunca </w:t>
      </w:r>
      <w:r w:rsidR="002C63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7 nci m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adde</w:t>
      </w:r>
      <w:r w:rsidR="002C63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nin ikinci ve üçüncü fıkralarında yer alan 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hükümlere uyulduğunu ve bulaşık alanın kalıcı otlak olarak kullanılmadığını gösteren bir ürün kaydı varsa</w:t>
      </w:r>
      <w:r w:rsidR="002C63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E7BC8" w:rsidRPr="001471A1" w:rsidRDefault="00B43AF8" w:rsidP="001471A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b)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E7BC8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EE29EE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organizmanı</w:t>
      </w:r>
      <w:r w:rsidR="00EE29E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 son tespitinden itibaren</w:t>
      </w:r>
      <w:r w:rsidR="00EE29EE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EE29E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E29EE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az 20 yıl sonra, tüm bu süre boyunca </w:t>
      </w:r>
      <w:r w:rsidR="002C63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7 nci maddenin ikinci ve üçüncü fıkralarında yer alan hükümlere uyulduğunu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bulaşık alan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kalıcı otlak olarak kullanılma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dığı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</w:p>
    <w:p w:rsidR="00974C80" w:rsidRDefault="00B43AF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1)</w:t>
      </w:r>
      <w:r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İki bi</w:t>
      </w:r>
      <w:r w:rsidR="002C63D6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yoa</w:t>
      </w:r>
      <w:r w:rsidR="00765C2A">
        <w:rPr>
          <w:rFonts w:ascii="Times New Roman" w:eastAsia="Times New Roman" w:hAnsi="Times New Roman" w:cs="Times New Roman"/>
          <w:sz w:val="24"/>
          <w:szCs w:val="24"/>
          <w:lang w:eastAsia="tr-TR"/>
        </w:rPr>
        <w:t>naliz</w:t>
      </w:r>
      <w:r w:rsidR="002630E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</w:t>
      </w:r>
      <w:r w:rsidR="00765C2A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</w:t>
      </w:r>
      <w:r w:rsidR="00765C2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</w:t>
      </w:r>
      <w:r w:rsidR="008E7BC8" w:rsidRP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çeşitlerinde </w:t>
      </w:r>
      <w:r w:rsidR="002630EE" w:rsidRP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(3 üncü</w:t>
      </w:r>
      <w:r w:rsidR="008E7BC8" w:rsidRP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maddede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açıklandığı gibi)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="00765C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enfeksiyon</w:t>
      </w:r>
      <w:proofErr w:type="gramEnd"/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belirtisi bulunmamışsa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E7BC8" w:rsidRPr="001471A1" w:rsidRDefault="008E7BC8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gramEnd"/>
    </w:p>
    <w:p w:rsidR="008E7BC8" w:rsidRPr="001471A1" w:rsidRDefault="00B43AF8" w:rsidP="001471A1">
      <w:pPr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2) </w:t>
      </w:r>
      <w:r w:rsidR="00765C2A">
        <w:rPr>
          <w:rFonts w:ascii="Times New Roman" w:eastAsia="Times New Roman" w:hAnsi="Times New Roman" w:cs="Times New Roman"/>
          <w:sz w:val="24"/>
          <w:szCs w:val="24"/>
          <w:lang w:eastAsia="tr-TR"/>
        </w:rPr>
        <w:t>Bir</w:t>
      </w:r>
      <w:r w:rsidR="00765C2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biyoa</w:t>
      </w:r>
      <w:r w:rsidR="00765C2A">
        <w:rPr>
          <w:rFonts w:ascii="Times New Roman" w:eastAsia="Times New Roman" w:hAnsi="Times New Roman" w:cs="Times New Roman"/>
          <w:sz w:val="24"/>
          <w:szCs w:val="24"/>
          <w:lang w:eastAsia="tr-TR"/>
        </w:rPr>
        <w:t>naliz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de (</w:t>
      </w:r>
      <w:r w:rsidR="00765C2A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</w:t>
      </w:r>
      <w:r w:rsidR="00765C2A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çeşitlerinde </w:t>
      </w:r>
      <w:r w:rsidR="008E7BC8" w:rsidRP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(3) numaralı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maddede açıklandığı gibi)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="00765C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bulaşıklık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belirtisi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bulunmamış</w:t>
      </w:r>
      <w:r w:rsidR="008E7BC8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a ve EK-1</w:t>
      </w:r>
      <w:r w:rsidR="002331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'in 2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nci</w:t>
      </w:r>
      <w:r w:rsidR="002331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belirtilen yöntemlerden biri ile bulaşık alan toprağının analizinin yapılması ve mikroskopla doğrudan incelenmesinde canlı dinlenme sporları bulunmam</w:t>
      </w:r>
      <w:r w:rsidR="00765C2A">
        <w:rPr>
          <w:rFonts w:ascii="Times New Roman" w:eastAsia="Times New Roman" w:hAnsi="Times New Roman" w:cs="Times New Roman"/>
          <w:sz w:val="24"/>
          <w:szCs w:val="24"/>
          <w:lang w:eastAsia="tr-TR"/>
        </w:rPr>
        <w:t>ışsa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331DE" w:rsidRPr="001471A1" w:rsidRDefault="002331DE" w:rsidP="001471A1">
      <w:pPr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test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i için aşağıdaki adımların tümü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izlenmelidir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:rsidR="008E7BC8" w:rsidRPr="001471A1" w:rsidRDefault="00974C80" w:rsidP="001471A1">
      <w:pPr>
        <w:pStyle w:val="ListeParagraf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alan</w:t>
      </w:r>
      <w:r w:rsidR="002331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 her biri 0,33 hektarlık birimlere bölün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ür.</w:t>
      </w:r>
    </w:p>
    <w:p w:rsidR="008E7BC8" w:rsidRPr="001471A1" w:rsidRDefault="00765C2A" w:rsidP="001471A1">
      <w:pPr>
        <w:pStyle w:val="ListeParagraf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Alanı eşit olarak temsil edecek şekilde veya bilinen bulaşık odaklara göre toplanmak üzere, h</w:t>
      </w:r>
      <w:r w:rsidR="002331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 birimden 20 cm derinliğe kadar 60 alt </w:t>
      </w:r>
      <w:r w:rsidR="00E5321E" w:rsidRP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 w:rsidR="002331DE" w:rsidRP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31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alın</w:t>
      </w:r>
      <w:r w:rsidR="00974C80">
        <w:rPr>
          <w:rFonts w:ascii="Times New Roman" w:eastAsia="Times New Roman" w:hAnsi="Times New Roman" w:cs="Times New Roman"/>
          <w:sz w:val="24"/>
          <w:szCs w:val="24"/>
          <w:lang w:eastAsia="tr-TR"/>
        </w:rPr>
        <w:t>ır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2331D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E7BC8" w:rsidRPr="001471A1" w:rsidRDefault="002331DE" w:rsidP="001471A1">
      <w:pPr>
        <w:pStyle w:val="ListeParagraf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Alt </w:t>
      </w:r>
      <w:r w:rsid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ler, hektar başına 3 </w:t>
      </w:r>
      <w:r w:rsid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elde edilecek şekilde iyice karıştırılır.</w:t>
      </w:r>
    </w:p>
    <w:p w:rsidR="000B224E" w:rsidRPr="001471A1" w:rsidRDefault="00AD5AB5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2462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lerin kısmen iptali</w:t>
      </w:r>
    </w:p>
    <w:p w:rsidR="000B224E" w:rsidRPr="001471A1" w:rsidRDefault="004B5AFD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alanlar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="009375E7">
        <w:rPr>
          <w:rFonts w:ascii="Times New Roman" w:eastAsia="Times New Roman" w:hAnsi="Times New Roman" w:cs="Times New Roman"/>
          <w:sz w:val="24"/>
          <w:szCs w:val="24"/>
          <w:lang w:eastAsia="tr-TR"/>
        </w:rPr>
        <w:t>nı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 son tespitinin üzerinden en az 10 yıl ge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çtikten sonra, bu alanlar için 7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nc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maddede öngörülen tedbirlerin kısmen iptal edilmesi düşünülebilir.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7 nci m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adde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nin ikinci ve üçüncü fıkralarına 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bu süre boyunca uyulduğunu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alanın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kalıcı otlak olarak kullanılmadığını 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gösteren bir ürün kaydı varsa 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ve:</w:t>
      </w:r>
    </w:p>
    <w:p w:rsidR="004B5AFD" w:rsidRDefault="003922C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</w:t>
      </w:r>
      <w:r w:rsidR="009A1C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patates çeşitleri ile 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ekin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üncü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adde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sin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de açıklandığı gibi iki bioa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>naliz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hiçbir 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bulaşıklık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belirtisi bulunmamalıdır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22C9" w:rsidRPr="001471A1" w:rsidRDefault="003922C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proofErr w:type="gramStart"/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veya</w:t>
      </w:r>
      <w:proofErr w:type="gramEnd"/>
    </w:p>
    <w:p w:rsidR="003922C9" w:rsidRPr="001471A1" w:rsidRDefault="003922C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ekin </w:t>
      </w:r>
      <w:r w:rsidR="004B5AF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3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üncü</w:t>
      </w:r>
      <w:r w:rsidR="004B5AF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r w:rsidR="004B5AF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adde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sin</w:t>
      </w:r>
      <w:r w:rsidR="004B5AF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açıklandığı gibi, 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>duyarlı</w:t>
      </w:r>
      <w:r w:rsidR="009A1C4D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patates çeşitleriyle bir bioa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>naliz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 </w:t>
      </w:r>
      <w:r w:rsidR="003F271B"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ile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bulaşıklık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belirtisi bulunmam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>ışsa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E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K-1'in 2 nci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maddesinde belirtilen yöntemlerden biri ile sporların bulaşık alan toprağının ekstraksiyonunun ardından mikrosko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pla doğrudan incelenmesi sonucu gram 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toprak başına 5'ten az canlı dinlenme sporu bulunmuş</w:t>
      </w:r>
      <w:r w:rsidR="009A1C4D">
        <w:rPr>
          <w:rFonts w:ascii="Times New Roman" w:eastAsia="Times New Roman" w:hAnsi="Times New Roman" w:cs="Times New Roman"/>
          <w:sz w:val="24"/>
          <w:szCs w:val="24"/>
          <w:lang w:eastAsia="tr-TR"/>
        </w:rPr>
        <w:t>sa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3922C9" w:rsidRPr="001471A1" w:rsidRDefault="003922C9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Test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için, aşağıdaki adımlar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izlenir:</w:t>
      </w:r>
    </w:p>
    <w:p w:rsidR="003922C9" w:rsidRPr="001471A1" w:rsidRDefault="004B5AFD" w:rsidP="001471A1">
      <w:pPr>
        <w:pStyle w:val="ListeParagraf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 alan</w:t>
      </w:r>
      <w:r w:rsidR="003922C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, her biri 0,33 hektarlık birimlere bölün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ür.</w:t>
      </w:r>
    </w:p>
    <w:p w:rsidR="003922C9" w:rsidRPr="001471A1" w:rsidRDefault="00713DE9" w:rsidP="001471A1">
      <w:pPr>
        <w:pStyle w:val="ListeParagraf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Alanı eşit olarak temsil edecek şekilde veya bilinen bulaşık odaklara göre toplanmak üzere, h</w:t>
      </w:r>
      <w:r w:rsidR="003922C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 birimden 20 cm derinliğe kadar, 60 alt </w:t>
      </w:r>
      <w:r w:rsid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 w:rsidR="003922C9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ır.</w:t>
      </w:r>
    </w:p>
    <w:p w:rsidR="003922C9" w:rsidRPr="001471A1" w:rsidRDefault="003922C9" w:rsidP="001471A1">
      <w:pPr>
        <w:pStyle w:val="ListeParagraf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Alt </w:t>
      </w:r>
      <w:r w:rsid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ler, hektar başına 3 </w:t>
      </w:r>
      <w:r w:rsid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elde edilecek şekilde iyice karıştırılır.</w:t>
      </w:r>
    </w:p>
    <w:p w:rsidR="003922C9" w:rsidRDefault="003922C9" w:rsidP="001471A1">
      <w:pPr>
        <w:pStyle w:val="ListeParagraf"/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koşulların sağlanmaması durumunda, en az 2 yıllık bir bekleme süresinin ardından tedbirlerin kısmen geri alınması yeniden değerlendirilebilir. Bu bekleme süresinin uzunluğunu belirlerken 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bulaşıklık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seviyesi ve/veya tespit edilen canlı sporların sayısı dikkate al</w:t>
      </w:r>
      <w:r w:rsidR="004B5AFD">
        <w:rPr>
          <w:rFonts w:ascii="Times New Roman" w:eastAsia="Times New Roman" w:hAnsi="Times New Roman" w:cs="Times New Roman"/>
          <w:sz w:val="24"/>
          <w:szCs w:val="24"/>
          <w:lang w:eastAsia="tr-TR"/>
        </w:rPr>
        <w:t>ın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ır.</w:t>
      </w:r>
    </w:p>
    <w:p w:rsidR="004B5AFD" w:rsidRDefault="004B5AFD" w:rsidP="001471A1">
      <w:pPr>
        <w:pStyle w:val="ListeParagraf"/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AFD" w:rsidRDefault="004B5AFD" w:rsidP="001471A1">
      <w:pPr>
        <w:pStyle w:val="ListeParagraf"/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B5AFD" w:rsidRPr="001471A1" w:rsidRDefault="004B5AFD" w:rsidP="001471A1">
      <w:pPr>
        <w:pStyle w:val="ListeParagraf"/>
        <w:shd w:val="clear" w:color="auto" w:fill="FFFFFF"/>
        <w:tabs>
          <w:tab w:val="left" w:pos="993"/>
        </w:tabs>
        <w:spacing w:after="0" w:line="312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B224E" w:rsidRPr="001471A1" w:rsidRDefault="00AD5AB5" w:rsidP="00AD5AB5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(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2462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Tedbir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lerin kaldırılması amacıyla yapılacak biyoa</w:t>
      </w:r>
      <w:r w:rsidR="00713DE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naliz</w:t>
      </w:r>
      <w:r w:rsidR="000B224E" w:rsidRPr="001471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</w:p>
    <w:p w:rsidR="000B224E" w:rsidRPr="001471A1" w:rsidRDefault="000B224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Birkaç patates yumrusu, patates gelişimine uygun sıcaklık, nem ve ışık koşullarında en az 5 litre toprakla birlikte saksılara dikilir. Tüm patotiplere oldukça duyarlı bir çeşit seçilir (Deodara, Evora, Morene, Tomensa, Maritiema, Arran Chief gibi).</w:t>
      </w:r>
    </w:p>
    <w:p w:rsidR="000B224E" w:rsidRPr="001471A1" w:rsidRDefault="000B224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Büyüyen patates bitkileri yaklaşık 60 cm yüksekliğe ulaştığında kesilir. Yaklaşık 100 gün sonra yeni oluşan yumrularda siğil</w:t>
      </w:r>
      <w:r w:rsidR="00713DE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varlığı yönünden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 yapılır.</w:t>
      </w:r>
    </w:p>
    <w:p w:rsidR="000B224E" w:rsidRPr="001471A1" w:rsidRDefault="00BA5661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Zararlı organizmadan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ari toprağın negatif kontrolleri ve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bulaşık</w:t>
      </w:r>
      <w:r w:rsidR="000B224E"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toprağın pozitif kontrolleri her zaman teste dahil edilmelidir. </w:t>
      </w:r>
    </w:p>
    <w:p w:rsidR="000B224E" w:rsidRPr="001471A1" w:rsidRDefault="000B224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Pozitif kontrol yumru</w:t>
      </w:r>
      <w:r w:rsidR="00713DE9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da siğil oluşması ve negatif kontrol yumru</w:t>
      </w:r>
      <w:r w:rsidR="00713DE9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siğil oluşmaması durumunda test geçerli kabul edilir. Sera içindeki sıcaklık ve nem koşulları kayıt altına alınacaktır. Test </w:t>
      </w:r>
      <w:r w:rsidR="00095612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lerinde oluşan siğiller, yazlık </w:t>
      </w:r>
      <w:r w:rsidR="00713DE9">
        <w:rPr>
          <w:rFonts w:ascii="Times New Roman" w:eastAsia="Times New Roman" w:hAnsi="Times New Roman" w:cs="Times New Roman"/>
          <w:sz w:val="24"/>
          <w:szCs w:val="24"/>
          <w:lang w:eastAsia="tr-TR"/>
        </w:rPr>
        <w:t>spor keselerinin (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sporangi</w:t>
      </w:r>
      <w:r w:rsidR="00713DE9">
        <w:rPr>
          <w:rFonts w:ascii="Times New Roman" w:eastAsia="Times New Roman" w:hAnsi="Times New Roman" w:cs="Times New Roman"/>
          <w:sz w:val="24"/>
          <w:szCs w:val="24"/>
          <w:lang w:eastAsia="tr-TR"/>
        </w:rPr>
        <w:t>yumların)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 dinlenme sporlarının varlığı açısından mikroskobik olarak incelenmelidir.</w:t>
      </w:r>
    </w:p>
    <w:p w:rsidR="000B224E" w:rsidRPr="001471A1" w:rsidRDefault="000B224E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Testin tamamı, zararlı</w:t>
      </w:r>
      <w:r w:rsidR="00392A6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organizma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nın daha fazla yayılmasını önleyen koşullar altında gerçekleştiril</w:t>
      </w:r>
      <w:r w:rsidR="00CD2BFE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1471A1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6A47DC" w:rsidRPr="001471A1" w:rsidRDefault="006A47DC" w:rsidP="001471A1">
      <w:pPr>
        <w:shd w:val="clear" w:color="auto" w:fill="FFFFFF"/>
        <w:tabs>
          <w:tab w:val="left" w:pos="993"/>
        </w:tabs>
        <w:spacing w:after="0" w:line="312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A47DC" w:rsidRPr="001471A1" w:rsidSect="000B22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064"/>
    <w:multiLevelType w:val="hybridMultilevel"/>
    <w:tmpl w:val="749E4B0E"/>
    <w:lvl w:ilvl="0" w:tplc="897A6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131"/>
    <w:multiLevelType w:val="hybridMultilevel"/>
    <w:tmpl w:val="10BE8946"/>
    <w:lvl w:ilvl="0" w:tplc="F968A282">
      <w:start w:val="3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D73F40"/>
    <w:multiLevelType w:val="hybridMultilevel"/>
    <w:tmpl w:val="6218BD0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55057"/>
    <w:multiLevelType w:val="hybridMultilevel"/>
    <w:tmpl w:val="510215C4"/>
    <w:lvl w:ilvl="0" w:tplc="4DCCFCBE">
      <w:start w:val="4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2C35958"/>
    <w:multiLevelType w:val="hybridMultilevel"/>
    <w:tmpl w:val="FD509738"/>
    <w:lvl w:ilvl="0" w:tplc="BB6CD1E4">
      <w:start w:val="1"/>
      <w:numFmt w:val="decimal"/>
      <w:lvlText w:val="(%1)"/>
      <w:lvlJc w:val="left"/>
      <w:pPr>
        <w:ind w:left="1211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6A42029"/>
    <w:multiLevelType w:val="hybridMultilevel"/>
    <w:tmpl w:val="4CC0C74A"/>
    <w:lvl w:ilvl="0" w:tplc="164CA5AC">
      <w:start w:val="6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4365B4"/>
    <w:multiLevelType w:val="hybridMultilevel"/>
    <w:tmpl w:val="0BB8D29E"/>
    <w:lvl w:ilvl="0" w:tplc="22F8D836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01435C1"/>
    <w:multiLevelType w:val="hybridMultilevel"/>
    <w:tmpl w:val="C67AEEF8"/>
    <w:lvl w:ilvl="0" w:tplc="3A1E1C06">
      <w:start w:val="9"/>
      <w:numFmt w:val="decimal"/>
      <w:lvlText w:val="(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C5EB1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A8E03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41E06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74287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16B223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FB86E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4C6E05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F5E881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13A429A"/>
    <w:multiLevelType w:val="hybridMultilevel"/>
    <w:tmpl w:val="007E4AC4"/>
    <w:lvl w:ilvl="0" w:tplc="F774BD70">
      <w:start w:val="1"/>
      <w:numFmt w:val="decimal"/>
      <w:lvlText w:val="%1)"/>
      <w:lvlJc w:val="left"/>
      <w:pPr>
        <w:ind w:left="15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20" w:hanging="360"/>
      </w:pPr>
    </w:lvl>
    <w:lvl w:ilvl="2" w:tplc="041F001B" w:tentative="1">
      <w:start w:val="1"/>
      <w:numFmt w:val="lowerRoman"/>
      <w:lvlText w:val="%3."/>
      <w:lvlJc w:val="right"/>
      <w:pPr>
        <w:ind w:left="2940" w:hanging="180"/>
      </w:pPr>
    </w:lvl>
    <w:lvl w:ilvl="3" w:tplc="041F000F" w:tentative="1">
      <w:start w:val="1"/>
      <w:numFmt w:val="decimal"/>
      <w:lvlText w:val="%4."/>
      <w:lvlJc w:val="left"/>
      <w:pPr>
        <w:ind w:left="3660" w:hanging="360"/>
      </w:pPr>
    </w:lvl>
    <w:lvl w:ilvl="4" w:tplc="041F0019" w:tentative="1">
      <w:start w:val="1"/>
      <w:numFmt w:val="lowerLetter"/>
      <w:lvlText w:val="%5."/>
      <w:lvlJc w:val="left"/>
      <w:pPr>
        <w:ind w:left="4380" w:hanging="360"/>
      </w:pPr>
    </w:lvl>
    <w:lvl w:ilvl="5" w:tplc="041F001B" w:tentative="1">
      <w:start w:val="1"/>
      <w:numFmt w:val="lowerRoman"/>
      <w:lvlText w:val="%6."/>
      <w:lvlJc w:val="right"/>
      <w:pPr>
        <w:ind w:left="5100" w:hanging="180"/>
      </w:pPr>
    </w:lvl>
    <w:lvl w:ilvl="6" w:tplc="041F000F" w:tentative="1">
      <w:start w:val="1"/>
      <w:numFmt w:val="decimal"/>
      <w:lvlText w:val="%7."/>
      <w:lvlJc w:val="left"/>
      <w:pPr>
        <w:ind w:left="5820" w:hanging="360"/>
      </w:pPr>
    </w:lvl>
    <w:lvl w:ilvl="7" w:tplc="041F0019" w:tentative="1">
      <w:start w:val="1"/>
      <w:numFmt w:val="lowerLetter"/>
      <w:lvlText w:val="%8."/>
      <w:lvlJc w:val="left"/>
      <w:pPr>
        <w:ind w:left="6540" w:hanging="360"/>
      </w:pPr>
    </w:lvl>
    <w:lvl w:ilvl="8" w:tplc="041F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1F538AA"/>
    <w:multiLevelType w:val="hybridMultilevel"/>
    <w:tmpl w:val="0A3ABA94"/>
    <w:lvl w:ilvl="0" w:tplc="2E24833C">
      <w:start w:val="1"/>
      <w:numFmt w:val="decimal"/>
      <w:lvlText w:val="(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C24A84E">
      <w:start w:val="1"/>
      <w:numFmt w:val="lowerLetter"/>
      <w:lvlText w:val="(%2)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28DC42">
      <w:start w:val="1"/>
      <w:numFmt w:val="lowerRoman"/>
      <w:lvlText w:val="(%3)"/>
      <w:lvlJc w:val="left"/>
      <w:pPr>
        <w:ind w:left="8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A783C24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4EB39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F32487A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B8E5BF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544C8BE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A66724C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414541"/>
    <w:multiLevelType w:val="hybridMultilevel"/>
    <w:tmpl w:val="5A5873BC"/>
    <w:lvl w:ilvl="0" w:tplc="28803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546C5"/>
    <w:multiLevelType w:val="hybridMultilevel"/>
    <w:tmpl w:val="F956E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A7051"/>
    <w:multiLevelType w:val="hybridMultilevel"/>
    <w:tmpl w:val="6164A59E"/>
    <w:lvl w:ilvl="0" w:tplc="4328B19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FE2421"/>
    <w:multiLevelType w:val="hybridMultilevel"/>
    <w:tmpl w:val="4746A77E"/>
    <w:lvl w:ilvl="0" w:tplc="B3B85124">
      <w:start w:val="8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AF2839"/>
    <w:multiLevelType w:val="hybridMultilevel"/>
    <w:tmpl w:val="EAC65A1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3082C"/>
    <w:multiLevelType w:val="hybridMultilevel"/>
    <w:tmpl w:val="ED64C0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32C25"/>
    <w:multiLevelType w:val="hybridMultilevel"/>
    <w:tmpl w:val="037042F8"/>
    <w:lvl w:ilvl="0" w:tplc="9E06EE2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  <w:szCs w:val="24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57FDF"/>
    <w:multiLevelType w:val="hybridMultilevel"/>
    <w:tmpl w:val="083664C6"/>
    <w:lvl w:ilvl="0" w:tplc="97C02CC2">
      <w:start w:val="1"/>
      <w:numFmt w:val="lowerLetter"/>
      <w:lvlText w:val="%1)"/>
      <w:lvlJc w:val="left"/>
      <w:pPr>
        <w:ind w:left="1931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7EB35FE7"/>
    <w:multiLevelType w:val="hybridMultilevel"/>
    <w:tmpl w:val="94922E6C"/>
    <w:lvl w:ilvl="0" w:tplc="7618F9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9"/>
  </w:num>
  <w:num w:numId="5">
    <w:abstractNumId w:val="7"/>
  </w:num>
  <w:num w:numId="6">
    <w:abstractNumId w:val="15"/>
  </w:num>
  <w:num w:numId="7">
    <w:abstractNumId w:val="14"/>
  </w:num>
  <w:num w:numId="8">
    <w:abstractNumId w:val="10"/>
  </w:num>
  <w:num w:numId="9">
    <w:abstractNumId w:val="0"/>
  </w:num>
  <w:num w:numId="10">
    <w:abstractNumId w:val="2"/>
  </w:num>
  <w:num w:numId="11">
    <w:abstractNumId w:val="6"/>
  </w:num>
  <w:num w:numId="12">
    <w:abstractNumId w:val="4"/>
  </w:num>
  <w:num w:numId="13">
    <w:abstractNumId w:val="17"/>
  </w:num>
  <w:num w:numId="14">
    <w:abstractNumId w:val="18"/>
  </w:num>
  <w:num w:numId="15">
    <w:abstractNumId w:val="1"/>
  </w:num>
  <w:num w:numId="16">
    <w:abstractNumId w:val="8"/>
  </w:num>
  <w:num w:numId="17">
    <w:abstractNumId w:val="13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5"/>
    <w:rsid w:val="00000808"/>
    <w:rsid w:val="00005012"/>
    <w:rsid w:val="00005F86"/>
    <w:rsid w:val="00020E6F"/>
    <w:rsid w:val="000231CE"/>
    <w:rsid w:val="00030571"/>
    <w:rsid w:val="00033C0E"/>
    <w:rsid w:val="00037BA8"/>
    <w:rsid w:val="00044E50"/>
    <w:rsid w:val="00054EDA"/>
    <w:rsid w:val="00064A12"/>
    <w:rsid w:val="00071713"/>
    <w:rsid w:val="000726BF"/>
    <w:rsid w:val="000765FE"/>
    <w:rsid w:val="00080C95"/>
    <w:rsid w:val="00083640"/>
    <w:rsid w:val="0008488A"/>
    <w:rsid w:val="00087788"/>
    <w:rsid w:val="00095018"/>
    <w:rsid w:val="00095612"/>
    <w:rsid w:val="000A1AE4"/>
    <w:rsid w:val="000A47EC"/>
    <w:rsid w:val="000B1B80"/>
    <w:rsid w:val="000B224E"/>
    <w:rsid w:val="000B27BF"/>
    <w:rsid w:val="000C0E75"/>
    <w:rsid w:val="000C69E1"/>
    <w:rsid w:val="000C6FE0"/>
    <w:rsid w:val="000C7268"/>
    <w:rsid w:val="000D345F"/>
    <w:rsid w:val="000E061A"/>
    <w:rsid w:val="000E0FEA"/>
    <w:rsid w:val="000E4FE1"/>
    <w:rsid w:val="000E501E"/>
    <w:rsid w:val="001015A4"/>
    <w:rsid w:val="001019A8"/>
    <w:rsid w:val="001025AE"/>
    <w:rsid w:val="00104A08"/>
    <w:rsid w:val="00105A3D"/>
    <w:rsid w:val="00113311"/>
    <w:rsid w:val="00113969"/>
    <w:rsid w:val="00116EF0"/>
    <w:rsid w:val="00123941"/>
    <w:rsid w:val="0013010B"/>
    <w:rsid w:val="00135C25"/>
    <w:rsid w:val="0014066B"/>
    <w:rsid w:val="001424D8"/>
    <w:rsid w:val="001447BC"/>
    <w:rsid w:val="00145428"/>
    <w:rsid w:val="001471A1"/>
    <w:rsid w:val="00152E2A"/>
    <w:rsid w:val="001542D5"/>
    <w:rsid w:val="00164B6A"/>
    <w:rsid w:val="00166A4D"/>
    <w:rsid w:val="00170B08"/>
    <w:rsid w:val="0017300F"/>
    <w:rsid w:val="00183217"/>
    <w:rsid w:val="00183BDB"/>
    <w:rsid w:val="00196B91"/>
    <w:rsid w:val="001A1A91"/>
    <w:rsid w:val="001A4E90"/>
    <w:rsid w:val="001A7D75"/>
    <w:rsid w:val="001B1883"/>
    <w:rsid w:val="001B2151"/>
    <w:rsid w:val="001B2740"/>
    <w:rsid w:val="001B4485"/>
    <w:rsid w:val="001C2017"/>
    <w:rsid w:val="001C39FF"/>
    <w:rsid w:val="001D28AE"/>
    <w:rsid w:val="001D51B3"/>
    <w:rsid w:val="001D737D"/>
    <w:rsid w:val="001F2164"/>
    <w:rsid w:val="001F3CA5"/>
    <w:rsid w:val="00201CAA"/>
    <w:rsid w:val="00202E71"/>
    <w:rsid w:val="00203E62"/>
    <w:rsid w:val="00205E49"/>
    <w:rsid w:val="00212DB0"/>
    <w:rsid w:val="002206AA"/>
    <w:rsid w:val="00224628"/>
    <w:rsid w:val="002274AC"/>
    <w:rsid w:val="00230016"/>
    <w:rsid w:val="00230CFF"/>
    <w:rsid w:val="00231938"/>
    <w:rsid w:val="002331DE"/>
    <w:rsid w:val="00244CF1"/>
    <w:rsid w:val="00245DD9"/>
    <w:rsid w:val="00250E4D"/>
    <w:rsid w:val="00261BFD"/>
    <w:rsid w:val="002630EE"/>
    <w:rsid w:val="00273533"/>
    <w:rsid w:val="00287460"/>
    <w:rsid w:val="00294C6F"/>
    <w:rsid w:val="002954A8"/>
    <w:rsid w:val="002A0BE7"/>
    <w:rsid w:val="002A1209"/>
    <w:rsid w:val="002A3DDD"/>
    <w:rsid w:val="002B09E4"/>
    <w:rsid w:val="002C00A5"/>
    <w:rsid w:val="002C1022"/>
    <w:rsid w:val="002C1D7C"/>
    <w:rsid w:val="002C2B8A"/>
    <w:rsid w:val="002C4BBB"/>
    <w:rsid w:val="002C63D6"/>
    <w:rsid w:val="002D2A37"/>
    <w:rsid w:val="002D3B35"/>
    <w:rsid w:val="00300688"/>
    <w:rsid w:val="0033289D"/>
    <w:rsid w:val="00336B2C"/>
    <w:rsid w:val="003510A9"/>
    <w:rsid w:val="00351635"/>
    <w:rsid w:val="00361738"/>
    <w:rsid w:val="003773DC"/>
    <w:rsid w:val="00384FA5"/>
    <w:rsid w:val="003868FA"/>
    <w:rsid w:val="0039165A"/>
    <w:rsid w:val="003922C9"/>
    <w:rsid w:val="00392A65"/>
    <w:rsid w:val="00396648"/>
    <w:rsid w:val="003976FC"/>
    <w:rsid w:val="00397970"/>
    <w:rsid w:val="003A5B0D"/>
    <w:rsid w:val="003A789B"/>
    <w:rsid w:val="003B11B5"/>
    <w:rsid w:val="003B1A6E"/>
    <w:rsid w:val="003D1D38"/>
    <w:rsid w:val="003E7A28"/>
    <w:rsid w:val="003F20AF"/>
    <w:rsid w:val="003F271B"/>
    <w:rsid w:val="003F4D54"/>
    <w:rsid w:val="003F76E2"/>
    <w:rsid w:val="00405FD0"/>
    <w:rsid w:val="004108DD"/>
    <w:rsid w:val="00416457"/>
    <w:rsid w:val="0042103E"/>
    <w:rsid w:val="004215AE"/>
    <w:rsid w:val="00423B9E"/>
    <w:rsid w:val="00451FE2"/>
    <w:rsid w:val="004565E5"/>
    <w:rsid w:val="004674AE"/>
    <w:rsid w:val="00491200"/>
    <w:rsid w:val="004A2E69"/>
    <w:rsid w:val="004B3258"/>
    <w:rsid w:val="004B4172"/>
    <w:rsid w:val="004B5871"/>
    <w:rsid w:val="004B5AFD"/>
    <w:rsid w:val="004B69FC"/>
    <w:rsid w:val="004E1A0E"/>
    <w:rsid w:val="004E4857"/>
    <w:rsid w:val="004E56DE"/>
    <w:rsid w:val="004E6467"/>
    <w:rsid w:val="004F45CA"/>
    <w:rsid w:val="004F45EA"/>
    <w:rsid w:val="004F5B00"/>
    <w:rsid w:val="004F7AC5"/>
    <w:rsid w:val="00501473"/>
    <w:rsid w:val="0050543C"/>
    <w:rsid w:val="00511924"/>
    <w:rsid w:val="00514E26"/>
    <w:rsid w:val="00521FB8"/>
    <w:rsid w:val="00525672"/>
    <w:rsid w:val="00527BF4"/>
    <w:rsid w:val="00546DC0"/>
    <w:rsid w:val="00552607"/>
    <w:rsid w:val="00574DFD"/>
    <w:rsid w:val="005815A0"/>
    <w:rsid w:val="005867E8"/>
    <w:rsid w:val="00591F52"/>
    <w:rsid w:val="00592CB1"/>
    <w:rsid w:val="005A45F0"/>
    <w:rsid w:val="005B0B45"/>
    <w:rsid w:val="005B5BE8"/>
    <w:rsid w:val="005C1670"/>
    <w:rsid w:val="005D4F59"/>
    <w:rsid w:val="005E520B"/>
    <w:rsid w:val="005F6F08"/>
    <w:rsid w:val="006009EB"/>
    <w:rsid w:val="00602A5F"/>
    <w:rsid w:val="00603B18"/>
    <w:rsid w:val="006170C3"/>
    <w:rsid w:val="00633FCF"/>
    <w:rsid w:val="006345B8"/>
    <w:rsid w:val="00637441"/>
    <w:rsid w:val="00640BC2"/>
    <w:rsid w:val="006477BF"/>
    <w:rsid w:val="00660C67"/>
    <w:rsid w:val="006612AD"/>
    <w:rsid w:val="00661612"/>
    <w:rsid w:val="00662B7D"/>
    <w:rsid w:val="00672037"/>
    <w:rsid w:val="00676714"/>
    <w:rsid w:val="00683E5D"/>
    <w:rsid w:val="006A096E"/>
    <w:rsid w:val="006A3013"/>
    <w:rsid w:val="006A3A88"/>
    <w:rsid w:val="006A47DC"/>
    <w:rsid w:val="006A5A2D"/>
    <w:rsid w:val="006A6753"/>
    <w:rsid w:val="006B4A12"/>
    <w:rsid w:val="006B7B38"/>
    <w:rsid w:val="006E3771"/>
    <w:rsid w:val="006E3E2F"/>
    <w:rsid w:val="007026C4"/>
    <w:rsid w:val="00713DE9"/>
    <w:rsid w:val="0072137B"/>
    <w:rsid w:val="007261AF"/>
    <w:rsid w:val="007273D2"/>
    <w:rsid w:val="00735270"/>
    <w:rsid w:val="00735B57"/>
    <w:rsid w:val="007414AA"/>
    <w:rsid w:val="007420CE"/>
    <w:rsid w:val="00751F51"/>
    <w:rsid w:val="0076251B"/>
    <w:rsid w:val="00765C2A"/>
    <w:rsid w:val="00766C1A"/>
    <w:rsid w:val="00780F94"/>
    <w:rsid w:val="00790F60"/>
    <w:rsid w:val="00792183"/>
    <w:rsid w:val="007A1465"/>
    <w:rsid w:val="007A3376"/>
    <w:rsid w:val="007A54F7"/>
    <w:rsid w:val="007B0AE9"/>
    <w:rsid w:val="007B70DD"/>
    <w:rsid w:val="007C1A5A"/>
    <w:rsid w:val="007C4674"/>
    <w:rsid w:val="007E6CDE"/>
    <w:rsid w:val="007F6468"/>
    <w:rsid w:val="00811930"/>
    <w:rsid w:val="008340D8"/>
    <w:rsid w:val="00834FDA"/>
    <w:rsid w:val="008515D6"/>
    <w:rsid w:val="00886A53"/>
    <w:rsid w:val="00891E3E"/>
    <w:rsid w:val="00893C91"/>
    <w:rsid w:val="008A54C1"/>
    <w:rsid w:val="008A73DE"/>
    <w:rsid w:val="008B02B6"/>
    <w:rsid w:val="008B3546"/>
    <w:rsid w:val="008B3681"/>
    <w:rsid w:val="008C17CE"/>
    <w:rsid w:val="008D133C"/>
    <w:rsid w:val="008D1FDF"/>
    <w:rsid w:val="008D4C1B"/>
    <w:rsid w:val="008D6F53"/>
    <w:rsid w:val="008E3266"/>
    <w:rsid w:val="008E364C"/>
    <w:rsid w:val="008E6724"/>
    <w:rsid w:val="008E7BC8"/>
    <w:rsid w:val="008F638A"/>
    <w:rsid w:val="00902A27"/>
    <w:rsid w:val="00902B67"/>
    <w:rsid w:val="00911B75"/>
    <w:rsid w:val="00913079"/>
    <w:rsid w:val="00916A39"/>
    <w:rsid w:val="009254E4"/>
    <w:rsid w:val="00932573"/>
    <w:rsid w:val="00932798"/>
    <w:rsid w:val="009375E7"/>
    <w:rsid w:val="009407CC"/>
    <w:rsid w:val="00944ABA"/>
    <w:rsid w:val="00953CF7"/>
    <w:rsid w:val="00954312"/>
    <w:rsid w:val="00964968"/>
    <w:rsid w:val="00966263"/>
    <w:rsid w:val="0097214D"/>
    <w:rsid w:val="009727E2"/>
    <w:rsid w:val="009732F5"/>
    <w:rsid w:val="00974088"/>
    <w:rsid w:val="00974C80"/>
    <w:rsid w:val="00980151"/>
    <w:rsid w:val="00982260"/>
    <w:rsid w:val="009A1C4D"/>
    <w:rsid w:val="009B1C42"/>
    <w:rsid w:val="009B3119"/>
    <w:rsid w:val="009D3B77"/>
    <w:rsid w:val="009E3073"/>
    <w:rsid w:val="009F2E43"/>
    <w:rsid w:val="009F3DE4"/>
    <w:rsid w:val="00A030FF"/>
    <w:rsid w:val="00A0700F"/>
    <w:rsid w:val="00A3709D"/>
    <w:rsid w:val="00A41C7D"/>
    <w:rsid w:val="00A4520E"/>
    <w:rsid w:val="00A53309"/>
    <w:rsid w:val="00A570AB"/>
    <w:rsid w:val="00A600EF"/>
    <w:rsid w:val="00A6084E"/>
    <w:rsid w:val="00A62A72"/>
    <w:rsid w:val="00A70F34"/>
    <w:rsid w:val="00A71087"/>
    <w:rsid w:val="00A7245C"/>
    <w:rsid w:val="00A73A99"/>
    <w:rsid w:val="00A85EC4"/>
    <w:rsid w:val="00A86238"/>
    <w:rsid w:val="00A87AD8"/>
    <w:rsid w:val="00A9162F"/>
    <w:rsid w:val="00AA587F"/>
    <w:rsid w:val="00AB19AC"/>
    <w:rsid w:val="00AB5D09"/>
    <w:rsid w:val="00AC6680"/>
    <w:rsid w:val="00AC6C5A"/>
    <w:rsid w:val="00AD3C1A"/>
    <w:rsid w:val="00AD55C6"/>
    <w:rsid w:val="00AD5AB5"/>
    <w:rsid w:val="00AD61C8"/>
    <w:rsid w:val="00AD773E"/>
    <w:rsid w:val="00AF400E"/>
    <w:rsid w:val="00B01451"/>
    <w:rsid w:val="00B02023"/>
    <w:rsid w:val="00B07453"/>
    <w:rsid w:val="00B14673"/>
    <w:rsid w:val="00B16DAF"/>
    <w:rsid w:val="00B22BE1"/>
    <w:rsid w:val="00B33870"/>
    <w:rsid w:val="00B34B3A"/>
    <w:rsid w:val="00B42477"/>
    <w:rsid w:val="00B43AF8"/>
    <w:rsid w:val="00B511E3"/>
    <w:rsid w:val="00B522F7"/>
    <w:rsid w:val="00B56A88"/>
    <w:rsid w:val="00B56EE8"/>
    <w:rsid w:val="00B61C89"/>
    <w:rsid w:val="00B6762B"/>
    <w:rsid w:val="00B765DD"/>
    <w:rsid w:val="00B76925"/>
    <w:rsid w:val="00B8533E"/>
    <w:rsid w:val="00B90ACC"/>
    <w:rsid w:val="00B91292"/>
    <w:rsid w:val="00B93F6E"/>
    <w:rsid w:val="00B943FF"/>
    <w:rsid w:val="00BA0242"/>
    <w:rsid w:val="00BA382F"/>
    <w:rsid w:val="00BA5661"/>
    <w:rsid w:val="00BA7100"/>
    <w:rsid w:val="00BB4FF8"/>
    <w:rsid w:val="00BB71FF"/>
    <w:rsid w:val="00BC2A0D"/>
    <w:rsid w:val="00BC4B4A"/>
    <w:rsid w:val="00BD544A"/>
    <w:rsid w:val="00BD631B"/>
    <w:rsid w:val="00BF0A30"/>
    <w:rsid w:val="00BF1094"/>
    <w:rsid w:val="00C0037D"/>
    <w:rsid w:val="00C0783B"/>
    <w:rsid w:val="00C113B1"/>
    <w:rsid w:val="00C16A4D"/>
    <w:rsid w:val="00C20F7D"/>
    <w:rsid w:val="00C21B9C"/>
    <w:rsid w:val="00C30149"/>
    <w:rsid w:val="00C31BB0"/>
    <w:rsid w:val="00C34A7D"/>
    <w:rsid w:val="00C36E44"/>
    <w:rsid w:val="00C402D4"/>
    <w:rsid w:val="00C4562C"/>
    <w:rsid w:val="00C45CFD"/>
    <w:rsid w:val="00C47E32"/>
    <w:rsid w:val="00C541F5"/>
    <w:rsid w:val="00C5745A"/>
    <w:rsid w:val="00C70905"/>
    <w:rsid w:val="00C71E3D"/>
    <w:rsid w:val="00C75503"/>
    <w:rsid w:val="00C92BA9"/>
    <w:rsid w:val="00C96616"/>
    <w:rsid w:val="00CA05F2"/>
    <w:rsid w:val="00CA33DE"/>
    <w:rsid w:val="00CB5424"/>
    <w:rsid w:val="00CB6B1D"/>
    <w:rsid w:val="00CC125E"/>
    <w:rsid w:val="00CD10EF"/>
    <w:rsid w:val="00CD2BFE"/>
    <w:rsid w:val="00CF061E"/>
    <w:rsid w:val="00CF4194"/>
    <w:rsid w:val="00CF614A"/>
    <w:rsid w:val="00CF752B"/>
    <w:rsid w:val="00D1624C"/>
    <w:rsid w:val="00D216FB"/>
    <w:rsid w:val="00D222AD"/>
    <w:rsid w:val="00D24517"/>
    <w:rsid w:val="00D25164"/>
    <w:rsid w:val="00D2639B"/>
    <w:rsid w:val="00D26FB2"/>
    <w:rsid w:val="00D26FBE"/>
    <w:rsid w:val="00D37C28"/>
    <w:rsid w:val="00D434A9"/>
    <w:rsid w:val="00D503D3"/>
    <w:rsid w:val="00D56BF8"/>
    <w:rsid w:val="00D62EAC"/>
    <w:rsid w:val="00D67D4D"/>
    <w:rsid w:val="00D80A03"/>
    <w:rsid w:val="00D822C0"/>
    <w:rsid w:val="00D9551D"/>
    <w:rsid w:val="00DA1DBA"/>
    <w:rsid w:val="00DB6AA1"/>
    <w:rsid w:val="00DC05F4"/>
    <w:rsid w:val="00DC4A94"/>
    <w:rsid w:val="00DD05F3"/>
    <w:rsid w:val="00DD4E4D"/>
    <w:rsid w:val="00DE5128"/>
    <w:rsid w:val="00DE708B"/>
    <w:rsid w:val="00DF4936"/>
    <w:rsid w:val="00DF740B"/>
    <w:rsid w:val="00E03200"/>
    <w:rsid w:val="00E06063"/>
    <w:rsid w:val="00E067EB"/>
    <w:rsid w:val="00E16266"/>
    <w:rsid w:val="00E33FFD"/>
    <w:rsid w:val="00E43440"/>
    <w:rsid w:val="00E45C17"/>
    <w:rsid w:val="00E45F93"/>
    <w:rsid w:val="00E46ACA"/>
    <w:rsid w:val="00E5321E"/>
    <w:rsid w:val="00E62867"/>
    <w:rsid w:val="00E62DE3"/>
    <w:rsid w:val="00E70AA9"/>
    <w:rsid w:val="00E8526B"/>
    <w:rsid w:val="00E94057"/>
    <w:rsid w:val="00E947EA"/>
    <w:rsid w:val="00E96B91"/>
    <w:rsid w:val="00EA238F"/>
    <w:rsid w:val="00EB3C5C"/>
    <w:rsid w:val="00EB451E"/>
    <w:rsid w:val="00EE29EE"/>
    <w:rsid w:val="00F175D0"/>
    <w:rsid w:val="00F24B7C"/>
    <w:rsid w:val="00F275F9"/>
    <w:rsid w:val="00F31563"/>
    <w:rsid w:val="00F32EDE"/>
    <w:rsid w:val="00F33231"/>
    <w:rsid w:val="00F3665A"/>
    <w:rsid w:val="00F47BC4"/>
    <w:rsid w:val="00F67A0D"/>
    <w:rsid w:val="00F702DE"/>
    <w:rsid w:val="00F730A0"/>
    <w:rsid w:val="00F74E56"/>
    <w:rsid w:val="00F75048"/>
    <w:rsid w:val="00F80227"/>
    <w:rsid w:val="00F8144A"/>
    <w:rsid w:val="00F82EEF"/>
    <w:rsid w:val="00F87FF9"/>
    <w:rsid w:val="00F934C8"/>
    <w:rsid w:val="00F97126"/>
    <w:rsid w:val="00FA3E15"/>
    <w:rsid w:val="00FA62B4"/>
    <w:rsid w:val="00FB343F"/>
    <w:rsid w:val="00FC5185"/>
    <w:rsid w:val="00FD16CD"/>
    <w:rsid w:val="00FE2F3C"/>
    <w:rsid w:val="00FE40AE"/>
    <w:rsid w:val="00FE7187"/>
    <w:rsid w:val="00FF2DFA"/>
    <w:rsid w:val="00FF3773"/>
    <w:rsid w:val="00FF4B10"/>
    <w:rsid w:val="00FF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40E03-2A88-4BA0-89C5-C922002C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F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F8022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022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022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022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022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0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022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E94057"/>
    <w:pPr>
      <w:ind w:left="720"/>
      <w:contextualSpacing/>
    </w:pPr>
  </w:style>
  <w:style w:type="table" w:customStyle="1" w:styleId="TableGrid">
    <w:name w:val="TableGrid"/>
    <w:rsid w:val="00AD61C8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-ortabaslk">
    <w:name w:val="2-ortabaslk"/>
    <w:basedOn w:val="Normal"/>
    <w:rsid w:val="0096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1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649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32022R1195&amp;qid=1658833801140" TargetMode="External"/><Relationship Id="rId13" Type="http://schemas.openxmlformats.org/officeDocument/2006/relationships/hyperlink" Target="https://eur-lex.europa.eu/legal-content/EN/TXT/?uri=CELEX%3A32022R1195&amp;qid=165883380114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ur-lex.europa.eu/legal-content/EN/TXT/?uri=CELEX%3A32022R1195&amp;qid=1658833801140" TargetMode="External"/><Relationship Id="rId12" Type="http://schemas.openxmlformats.org/officeDocument/2006/relationships/hyperlink" Target="https://eur-lex.europa.eu/legal-content/EN/TXT/?uri=CELEX%3A32022R1195&amp;qid=1658833801140" TargetMode="External"/><Relationship Id="rId17" Type="http://schemas.openxmlformats.org/officeDocument/2006/relationships/hyperlink" Target="https://eur-lex.europa.eu/legal-content/EN/TXT/?uri=CELEX%3A32022R1195&amp;qid=16588338011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EN/TXT/?uri=CELEX%3A32022R1195&amp;qid=16588338011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N/TXT/?uri=CELEX%3A32022R1195&amp;qid=1658833801140" TargetMode="External"/><Relationship Id="rId11" Type="http://schemas.openxmlformats.org/officeDocument/2006/relationships/hyperlink" Target="https://eur-lex.europa.eu/legal-content/EN/TXT/?uri=CELEX%3A32022R1195&amp;qid=16588338011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lex.europa.eu/legal-content/EN/TXT/?uri=CELEX%3A32022R1195&amp;qid=1658833801140" TargetMode="External"/><Relationship Id="rId10" Type="http://schemas.openxmlformats.org/officeDocument/2006/relationships/hyperlink" Target="https://eur-lex.europa.eu/legal-content/EN/TXT/?uri=CELEX%3A32022R1195&amp;qid=16588338011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CELEX%3A32022R1195&amp;qid=1658833801140" TargetMode="External"/><Relationship Id="rId14" Type="http://schemas.openxmlformats.org/officeDocument/2006/relationships/hyperlink" Target="https://eur-lex.europa.eu/legal-content/EN/TXT/?uri=CELEX%3A32022R1195&amp;qid=165883380114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ADE2-B526-487E-8844-13DC1BAC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Gıda Tarım ve Hayvancılık Bakanlığı</Company>
  <LinksUpToDate>false</LinksUpToDate>
  <CharactersWithSpaces>30482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Bitki Koruma</dc:creator>
  <cp:keywords/>
  <dc:description/>
  <cp:lastModifiedBy>Microsoft hesabı</cp:lastModifiedBy>
  <cp:revision>2</cp:revision>
  <dcterms:created xsi:type="dcterms:W3CDTF">2023-08-09T07:24:00Z</dcterms:created>
  <dcterms:modified xsi:type="dcterms:W3CDTF">2023-08-09T07:24:00Z</dcterms:modified>
</cp:coreProperties>
</file>